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  <w:woUserID w:val="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  <w:woUserID w:val="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  <w:woUserID w:val="2"/>
        </w:rPr>
        <w:t>关于审议集团及总部2024年全面预算的议案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textAlignment w:val="auto"/>
        <w:rPr>
          <w:rFonts w:hint="eastAsia"/>
          <w:lang w:val="en-US" w:eastAsia="zh-CN"/>
          <w:woUserID w:val="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  <w:woUserID w:val="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  <w:woUserID w:val="2"/>
        </w:rPr>
        <w:t>一、议案背景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  <w:woUserID w:val="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1"/>
        </w:rPr>
        <w:t>为了充分发挥全面预算对于细化发展规划和经营计划、引导资源合理配置和使用，完善经济运行监控和考核指标等重要作用，集团预算工作组基于各产业公司“十四五”中期评估报告以及年度经营计划，并结合“习惯过紧日子”的总体思想，以及控成本费用和提升人效等要求，编制形成了集团及总部2024年全面预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eastAsia="zh-CN"/>
          <w:woUserID w:val="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  <w:woUserID w:val="2"/>
        </w:rPr>
        <w:t>二、</w:t>
      </w:r>
      <w:r>
        <w:rPr>
          <w:rFonts w:hint="default" w:ascii="黑体" w:hAnsi="黑体" w:eastAsia="黑体" w:cs="黑体"/>
          <w:sz w:val="32"/>
          <w:szCs w:val="32"/>
          <w:lang w:eastAsia="zh-CN"/>
          <w:woUserID w:val="2"/>
        </w:rPr>
        <w:t>议案内容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default" w:ascii="黑体" w:hAnsi="黑体" w:eastAsia="黑体" w:cs="黑体"/>
          <w:sz w:val="32"/>
          <w:szCs w:val="32"/>
          <w:lang w:eastAsia="zh-CN"/>
          <w:woUserID w:val="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  <w:woUserID w:val="2"/>
        </w:rPr>
        <w:t>（一）集团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  <w:woUserID w:val="2"/>
        </w:rPr>
        <w:t>2024年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  <w:woUserID w:val="2"/>
        </w:rPr>
        <w:t>预算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eastAsia="zh-CN"/>
          <w:woUserID w:val="1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eastAsia="zh-CN"/>
          <w:woUserID w:val="1"/>
        </w:rPr>
        <w:t xml:space="preserve">    1.预算总体情况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1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  <w:woUserID w:val="1"/>
        </w:rPr>
        <w:t>损益预算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  <w:woUserID w:val="1"/>
        </w:rPr>
        <w:t>。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围绕“专注主业、创新突破、市场开拓、强化管控、数字化转型、团结协作、提质增效”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  <w:woUserID w:val="1"/>
        </w:rPr>
        <w:t>的年度经营方针，团结拼搏、创新实干，奋力实现“营业收入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475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  <w:woUserID w:val="1"/>
        </w:rPr>
        <w:t>亿元；利润总额10亿元”的年度目标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  <w:woUserID w:val="1"/>
        </w:rPr>
        <w:t>集团营收预算475亿元，同比增长8.6%，满足年度营收目标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、国资委拟下达营收目标（450亿元）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；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  <w:woUserID w:val="1"/>
        </w:rPr>
        <w:t>利润总额预算9.5亿元，同比增长21.8%，较年度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利润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  <w:woUserID w:val="1"/>
        </w:rPr>
        <w:t>目标存在0.5亿元缺口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、满足国资委拟下达利润目标（8亿元）。</w:t>
      </w:r>
    </w:p>
    <w:p>
      <w:pPr>
        <w:pStyle w:val="2"/>
        <w:spacing w:line="560" w:lineRule="exact"/>
        <w:ind w:left="0" w:leftChars="0" w:firstLine="0" w:firstLineChars="0"/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 xml:space="preserve">    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资金收支预算。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1"/>
        </w:rPr>
        <w:t>2024年集团经营性净流入减少，投资净流出增加，缺口通过筹资弥补。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1"/>
        </w:rPr>
        <w:t>2024年集团资金净流入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>28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1"/>
        </w:rPr>
        <w:t>.5亿元。其中，经营性资金预算净流入3.5亿元，同比减少5.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>1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1"/>
        </w:rPr>
        <w:t>亿元；投资性资金预算净流出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>28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1"/>
        </w:rPr>
        <w:t>亿元，同比增加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>9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1"/>
        </w:rPr>
        <w:t>亿元；筹资性资金净流入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>53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1"/>
        </w:rPr>
        <w:t>亿元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>（含国开基金股权融资25亿）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1"/>
        </w:rPr>
        <w:t>，同比增加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>33.8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1"/>
        </w:rPr>
        <w:t>亿元。</w:t>
      </w:r>
    </w:p>
    <w:p>
      <w:pPr>
        <w:pStyle w:val="2"/>
        <w:spacing w:line="560" w:lineRule="exact"/>
        <w:ind w:left="0" w:leftChars="0" w:firstLine="0" w:firstLineChars="0"/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1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1"/>
        </w:rPr>
        <w:t xml:space="preserve">    2.经营预算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leftChars="0" w:right="0" w:firstLine="0" w:firstLineChars="0"/>
        <w:jc w:val="both"/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eastAsia="zh-CN" w:bidi="ar"/>
          <w:woUserID w:val="1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 xml:space="preserve">    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1"/>
        </w:rPr>
        <w:t>业务预算。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>集团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1"/>
        </w:rPr>
        <w:t>重点培育打造军工电子系统装备、通信与智能终端、高端电子元器件、软件与信息服务、汽车电子五大领军型产业集群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>。其中，</w:t>
      </w:r>
      <w:r>
        <w:rPr>
          <w:rFonts w:hint="default" w:ascii="仿宋_GB2312" w:hAnsi="等线" w:eastAsia="仿宋_GB2312" w:cs="仿宋_GB2312"/>
          <w:color w:val="000000"/>
          <w:kern w:val="0"/>
          <w:sz w:val="32"/>
          <w:szCs w:val="32"/>
          <w:lang w:val="en-US" w:eastAsia="zh-CN" w:bidi="ar"/>
          <w:woUserID w:val="1"/>
        </w:rPr>
        <w:t>通信与智能终端、高端电子元器件、软件与信息服务三大领军产业集群</w:t>
      </w:r>
      <w:r>
        <w:rPr>
          <w:rFonts w:hint="default" w:ascii="仿宋_GB2312" w:hAnsi="等线" w:eastAsia="仿宋_GB2312" w:cs="仿宋_GB2312"/>
          <w:color w:val="000000"/>
          <w:kern w:val="0"/>
          <w:sz w:val="32"/>
          <w:szCs w:val="32"/>
          <w:lang w:eastAsia="zh-CN" w:bidi="ar"/>
          <w:woUserID w:val="1"/>
        </w:rPr>
        <w:t>预计</w:t>
      </w:r>
      <w:r>
        <w:rPr>
          <w:rFonts w:hint="default" w:ascii="仿宋_GB2312" w:hAnsi="等线" w:eastAsia="仿宋_GB2312" w:cs="仿宋_GB2312"/>
          <w:color w:val="000000"/>
          <w:kern w:val="0"/>
          <w:sz w:val="32"/>
          <w:szCs w:val="32"/>
          <w:lang w:val="en-US" w:eastAsia="zh-CN" w:bidi="ar"/>
          <w:woUserID w:val="1"/>
        </w:rPr>
        <w:t>贡献营收增量</w:t>
      </w:r>
      <w:r>
        <w:rPr>
          <w:rFonts w:hint="default" w:ascii="仿宋_GB2312" w:hAnsi="等线" w:eastAsia="仿宋_GB2312" w:cs="仿宋_GB2312"/>
          <w:color w:val="000000"/>
          <w:kern w:val="0"/>
          <w:sz w:val="32"/>
          <w:szCs w:val="32"/>
          <w:lang w:eastAsia="zh-CN" w:bidi="ar"/>
          <w:woUserID w:val="1"/>
        </w:rPr>
        <w:t>48</w:t>
      </w:r>
      <w:r>
        <w:rPr>
          <w:rFonts w:hint="default" w:ascii="仿宋_GB2312" w:hAnsi="等线" w:eastAsia="仿宋_GB2312" w:cs="仿宋_GB2312"/>
          <w:color w:val="000000"/>
          <w:kern w:val="0"/>
          <w:sz w:val="32"/>
          <w:szCs w:val="32"/>
          <w:lang w:val="en-US" w:eastAsia="zh-CN" w:bidi="ar"/>
          <w:woUserID w:val="1"/>
        </w:rPr>
        <w:t>亿、利润增量2.</w:t>
      </w:r>
      <w:r>
        <w:rPr>
          <w:rFonts w:hint="default" w:ascii="仿宋_GB2312" w:hAnsi="等线" w:eastAsia="仿宋_GB2312" w:cs="仿宋_GB2312"/>
          <w:color w:val="000000"/>
          <w:kern w:val="0"/>
          <w:sz w:val="32"/>
          <w:szCs w:val="32"/>
          <w:lang w:eastAsia="zh-CN" w:bidi="ar"/>
          <w:woUserID w:val="1"/>
        </w:rPr>
        <w:t>7</w:t>
      </w:r>
      <w:r>
        <w:rPr>
          <w:rFonts w:hint="default" w:ascii="仿宋_GB2312" w:hAnsi="等线" w:eastAsia="仿宋_GB2312" w:cs="仿宋_GB2312"/>
          <w:color w:val="000000"/>
          <w:kern w:val="0"/>
          <w:sz w:val="32"/>
          <w:szCs w:val="32"/>
          <w:lang w:val="en-US" w:eastAsia="zh-CN" w:bidi="ar"/>
          <w:woUserID w:val="1"/>
        </w:rPr>
        <w:t>亿</w:t>
      </w:r>
      <w:r>
        <w:rPr>
          <w:rFonts w:hint="default" w:ascii="仿宋_GB2312" w:hAnsi="等线" w:eastAsia="仿宋_GB2312" w:cs="仿宋_GB2312"/>
          <w:color w:val="000000"/>
          <w:kern w:val="0"/>
          <w:sz w:val="32"/>
          <w:szCs w:val="32"/>
          <w:lang w:eastAsia="zh-CN" w:bidi="ar"/>
          <w:woUserID w:val="1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leftChars="0" w:right="0" w:firstLine="0" w:firstLineChars="0"/>
        <w:jc w:val="center"/>
        <w:rPr>
          <w:rFonts w:hint="default" w:ascii="楷体_GB2312" w:hAnsi="楷体_GB2312" w:eastAsia="楷体_GB2312" w:cs="楷体_GB2312"/>
          <w:b/>
          <w:color w:val="C00000"/>
          <w:sz w:val="32"/>
          <w:szCs w:val="40"/>
          <w:highlight w:val="none"/>
          <w:lang w:eastAsia="zh-CN"/>
          <w:woUserID w:val="1"/>
        </w:rPr>
      </w:pPr>
      <w:r>
        <w:rPr>
          <w:rFonts w:hint="eastAsia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1"/>
        </w:rPr>
        <w:t>表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1"/>
        </w:rPr>
        <w:t>1</w:t>
      </w:r>
      <w:r>
        <w:rPr>
          <w:rFonts w:hint="eastAsia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1"/>
        </w:rPr>
        <w:t xml:space="preserve"> 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1"/>
        </w:rPr>
        <w:t>集团核心业务板块年度预算情况</w:t>
      </w:r>
      <w:r>
        <w:rPr>
          <w:rFonts w:hint="default" w:ascii="仿宋_GB2312" w:hAnsi="Calibri" w:eastAsia="仿宋_GB2312" w:cs="仿宋_GB2312"/>
          <w:b w:val="0"/>
          <w:bCs/>
          <w:kern w:val="2"/>
          <w:sz w:val="24"/>
          <w:szCs w:val="24"/>
          <w:lang w:val="en-US" w:eastAsia="zh-CN" w:bidi="ar"/>
          <w:woUserID w:val="1"/>
        </w:rPr>
        <w:t>（单位：亿元）</w:t>
      </w:r>
    </w:p>
    <w:tbl>
      <w:tblPr>
        <w:tblStyle w:val="12"/>
        <w:tblW w:w="539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774"/>
        <w:gridCol w:w="704"/>
        <w:gridCol w:w="999"/>
        <w:gridCol w:w="724"/>
        <w:gridCol w:w="836"/>
        <w:gridCol w:w="832"/>
        <w:gridCol w:w="963"/>
        <w:gridCol w:w="727"/>
        <w:gridCol w:w="20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tblHeader/>
          <w:jc w:val="center"/>
        </w:trPr>
        <w:tc>
          <w:tcPr>
            <w:tcW w:w="607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业务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板块</w:t>
            </w:r>
          </w:p>
        </w:tc>
        <w:tc>
          <w:tcPr>
            <w:tcW w:w="1638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营业收入</w:t>
            </w:r>
          </w:p>
        </w:tc>
        <w:tc>
          <w:tcPr>
            <w:tcW w:w="1718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利润总额</w:t>
            </w:r>
          </w:p>
        </w:tc>
        <w:tc>
          <w:tcPr>
            <w:tcW w:w="1035" w:type="pct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年度经营要点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tblHeader/>
          <w:jc w:val="center"/>
        </w:trPr>
        <w:tc>
          <w:tcPr>
            <w:tcW w:w="607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1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目标</w:t>
            </w:r>
          </w:p>
        </w:tc>
        <w:tc>
          <w:tcPr>
            <w:tcW w:w="3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预算</w:t>
            </w:r>
          </w:p>
        </w:tc>
        <w:tc>
          <w:tcPr>
            <w:tcW w:w="51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同比增减额</w:t>
            </w:r>
          </w:p>
        </w:tc>
        <w:tc>
          <w:tcPr>
            <w:tcW w:w="3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同比</w:t>
            </w:r>
          </w:p>
        </w:tc>
        <w:tc>
          <w:tcPr>
            <w:tcW w:w="4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目标</w:t>
            </w:r>
          </w:p>
        </w:tc>
        <w:tc>
          <w:tcPr>
            <w:tcW w:w="4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预算</w:t>
            </w:r>
          </w:p>
        </w:tc>
        <w:tc>
          <w:tcPr>
            <w:tcW w:w="49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同比增减额</w:t>
            </w:r>
          </w:p>
        </w:tc>
        <w:tc>
          <w:tcPr>
            <w:tcW w:w="3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同比</w:t>
            </w:r>
          </w:p>
        </w:tc>
        <w:tc>
          <w:tcPr>
            <w:tcW w:w="1035" w:type="pct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集团合计</w:t>
            </w:r>
          </w:p>
        </w:tc>
        <w:tc>
          <w:tcPr>
            <w:tcW w:w="39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475</w:t>
            </w:r>
          </w:p>
        </w:tc>
        <w:tc>
          <w:tcPr>
            <w:tcW w:w="3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475</w:t>
            </w:r>
          </w:p>
        </w:tc>
        <w:tc>
          <w:tcPr>
            <w:tcW w:w="51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37.5</w:t>
            </w:r>
          </w:p>
        </w:tc>
        <w:tc>
          <w:tcPr>
            <w:tcW w:w="3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9%</w:t>
            </w:r>
          </w:p>
        </w:tc>
        <w:tc>
          <w:tcPr>
            <w:tcW w:w="4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10</w:t>
            </w:r>
          </w:p>
        </w:tc>
        <w:tc>
          <w:tcPr>
            <w:tcW w:w="4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9.5</w:t>
            </w:r>
          </w:p>
        </w:tc>
        <w:tc>
          <w:tcPr>
            <w:tcW w:w="49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1.7</w:t>
            </w:r>
          </w:p>
        </w:tc>
        <w:tc>
          <w:tcPr>
            <w:tcW w:w="3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22%</w:t>
            </w:r>
          </w:p>
        </w:tc>
        <w:tc>
          <w:tcPr>
            <w:tcW w:w="103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军工电子</w:t>
            </w:r>
          </w:p>
        </w:tc>
        <w:tc>
          <w:tcPr>
            <w:tcW w:w="39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80.4</w:t>
            </w:r>
          </w:p>
        </w:tc>
        <w:tc>
          <w:tcPr>
            <w:tcW w:w="3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80.4</w:t>
            </w:r>
          </w:p>
        </w:tc>
        <w:tc>
          <w:tcPr>
            <w:tcW w:w="51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2.5</w:t>
            </w:r>
          </w:p>
        </w:tc>
        <w:tc>
          <w:tcPr>
            <w:tcW w:w="3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3%</w:t>
            </w:r>
          </w:p>
        </w:tc>
        <w:tc>
          <w:tcPr>
            <w:tcW w:w="4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5.08</w:t>
            </w:r>
          </w:p>
        </w:tc>
        <w:tc>
          <w:tcPr>
            <w:tcW w:w="4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5.08</w:t>
            </w:r>
          </w:p>
        </w:tc>
        <w:tc>
          <w:tcPr>
            <w:tcW w:w="49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0.06</w:t>
            </w:r>
          </w:p>
        </w:tc>
        <w:tc>
          <w:tcPr>
            <w:tcW w:w="3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1%</w:t>
            </w:r>
          </w:p>
        </w:tc>
        <w:tc>
          <w:tcPr>
            <w:tcW w:w="103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/>
                <w:woUserID w:val="1"/>
              </w:rPr>
              <w:t>坚定军工“核心”地位不动摇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/>
                <w:woUserID w:val="1"/>
              </w:rPr>
              <w:t>，夯实九洲高质量发展基本盘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通信与智能终端</w:t>
            </w:r>
          </w:p>
        </w:tc>
        <w:tc>
          <w:tcPr>
            <w:tcW w:w="39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46.5</w:t>
            </w:r>
          </w:p>
        </w:tc>
        <w:tc>
          <w:tcPr>
            <w:tcW w:w="3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45.9</w:t>
            </w:r>
          </w:p>
        </w:tc>
        <w:tc>
          <w:tcPr>
            <w:tcW w:w="51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12.6</w:t>
            </w:r>
          </w:p>
        </w:tc>
        <w:tc>
          <w:tcPr>
            <w:tcW w:w="3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38%</w:t>
            </w:r>
          </w:p>
        </w:tc>
        <w:tc>
          <w:tcPr>
            <w:tcW w:w="4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1.93</w:t>
            </w:r>
          </w:p>
        </w:tc>
        <w:tc>
          <w:tcPr>
            <w:tcW w:w="4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1.93</w:t>
            </w:r>
          </w:p>
        </w:tc>
        <w:tc>
          <w:tcPr>
            <w:tcW w:w="49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0.7</w:t>
            </w:r>
          </w:p>
        </w:tc>
        <w:tc>
          <w:tcPr>
            <w:tcW w:w="3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kern w:val="2"/>
                <w:sz w:val="24"/>
                <w:szCs w:val="24"/>
                <w:woUserID w:val="1"/>
              </w:rPr>
              <w:t>51%</w:t>
            </w:r>
          </w:p>
        </w:tc>
        <w:tc>
          <w:tcPr>
            <w:tcW w:w="103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仿宋_GB2312" w:eastAsia="仿宋_GB2312" w:cs="仿宋_GB2312"/>
                <w:i w:val="0"/>
                <w:iCs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kern w:val="2"/>
                <w:sz w:val="24"/>
                <w:szCs w:val="24"/>
                <w:lang w:eastAsia="zh-CN"/>
                <w:woUserID w:val="1"/>
              </w:rPr>
              <w:t>坚持大客户战略、</w:t>
            </w:r>
            <w:r>
              <w:rPr>
                <w:rFonts w:hint="default" w:ascii="仿宋_GB2312" w:eastAsia="仿宋_GB2312" w:cs="仿宋_GB2312"/>
                <w:i w:val="0"/>
                <w:iCs w:val="0"/>
                <w:kern w:val="2"/>
                <w:sz w:val="24"/>
                <w:szCs w:val="24"/>
                <w:lang w:val="en-US" w:eastAsia="zh-CN"/>
                <w:woUserID w:val="1"/>
              </w:rPr>
              <w:t>增强民品智能终端产业价值创造能力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软件与数据智能</w:t>
            </w:r>
          </w:p>
        </w:tc>
        <w:tc>
          <w:tcPr>
            <w:tcW w:w="39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75.7</w:t>
            </w:r>
          </w:p>
        </w:tc>
        <w:tc>
          <w:tcPr>
            <w:tcW w:w="3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75.7</w:t>
            </w:r>
          </w:p>
        </w:tc>
        <w:tc>
          <w:tcPr>
            <w:tcW w:w="51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22.7</w:t>
            </w:r>
          </w:p>
        </w:tc>
        <w:tc>
          <w:tcPr>
            <w:tcW w:w="3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43%</w:t>
            </w:r>
          </w:p>
        </w:tc>
        <w:tc>
          <w:tcPr>
            <w:tcW w:w="4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1.26</w:t>
            </w:r>
          </w:p>
        </w:tc>
        <w:tc>
          <w:tcPr>
            <w:tcW w:w="4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1.26</w:t>
            </w:r>
          </w:p>
        </w:tc>
        <w:tc>
          <w:tcPr>
            <w:tcW w:w="49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0.5</w:t>
            </w:r>
          </w:p>
        </w:tc>
        <w:tc>
          <w:tcPr>
            <w:tcW w:w="3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62%</w:t>
            </w:r>
          </w:p>
        </w:tc>
        <w:tc>
          <w:tcPr>
            <w:tcW w:w="103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仿宋_GB2312" w:eastAsia="仿宋_GB2312" w:cs="仿宋_GB2312"/>
                <w:i w:val="0"/>
                <w:iCs w:val="0"/>
                <w:kern w:val="2"/>
                <w:sz w:val="24"/>
                <w:szCs w:val="24"/>
                <w:lang w:val="en-US" w:eastAsia="zh-CN"/>
                <w:woUserID w:val="1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kern w:val="2"/>
                <w:sz w:val="24"/>
                <w:szCs w:val="24"/>
                <w:lang w:val="en-US" w:eastAsia="zh-CN"/>
                <w:woUserID w:val="1"/>
              </w:rPr>
              <w:t>全面提升软件与数据智能产业的“含金量”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高端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元器件</w:t>
            </w:r>
          </w:p>
        </w:tc>
        <w:tc>
          <w:tcPr>
            <w:tcW w:w="39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10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eastAsia="zh-CN" w:bidi="ar"/>
                <w:woUserID w:val="1"/>
              </w:rPr>
              <w:t>6</w:t>
            </w:r>
          </w:p>
        </w:tc>
        <w:tc>
          <w:tcPr>
            <w:tcW w:w="3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106</w:t>
            </w:r>
          </w:p>
        </w:tc>
        <w:tc>
          <w:tcPr>
            <w:tcW w:w="51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eastAsia="zh-CN" w:bidi="ar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eastAsia="zh-CN" w:bidi="ar"/>
                <w:woUserID w:val="1"/>
              </w:rPr>
              <w:t>12.9</w:t>
            </w:r>
          </w:p>
        </w:tc>
        <w:tc>
          <w:tcPr>
            <w:tcW w:w="3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eastAsia="zh-CN" w:bidi="ar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eastAsia="zh-CN" w:bidi="ar"/>
                <w:woUserID w:val="1"/>
              </w:rPr>
              <w:t>14%</w:t>
            </w:r>
          </w:p>
        </w:tc>
        <w:tc>
          <w:tcPr>
            <w:tcW w:w="4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5.8</w:t>
            </w:r>
          </w:p>
        </w:tc>
        <w:tc>
          <w:tcPr>
            <w:tcW w:w="4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5.79</w:t>
            </w:r>
          </w:p>
        </w:tc>
        <w:tc>
          <w:tcPr>
            <w:tcW w:w="49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1.6</w:t>
            </w:r>
          </w:p>
        </w:tc>
        <w:tc>
          <w:tcPr>
            <w:tcW w:w="3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37%</w:t>
            </w:r>
          </w:p>
        </w:tc>
        <w:tc>
          <w:tcPr>
            <w:tcW w:w="103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仿宋_GB2312" w:eastAsia="仿宋_GB2312" w:cs="仿宋_GB2312"/>
                <w:i w:val="0"/>
                <w:iCs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kern w:val="2"/>
                <w:sz w:val="24"/>
                <w:szCs w:val="24"/>
                <w:lang w:val="en-US" w:eastAsia="zh-CN"/>
                <w:woUserID w:val="1"/>
              </w:rPr>
              <w:t>实现元器件产业高端化布局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汽车电子与装备</w:t>
            </w:r>
          </w:p>
        </w:tc>
        <w:tc>
          <w:tcPr>
            <w:tcW w:w="39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  <w:t>2</w:t>
            </w:r>
          </w:p>
        </w:tc>
        <w:tc>
          <w:tcPr>
            <w:tcW w:w="3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2</w:t>
            </w:r>
          </w:p>
        </w:tc>
        <w:tc>
          <w:tcPr>
            <w:tcW w:w="51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0.6</w:t>
            </w:r>
          </w:p>
        </w:tc>
        <w:tc>
          <w:tcPr>
            <w:tcW w:w="3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41%</w:t>
            </w:r>
          </w:p>
        </w:tc>
        <w:tc>
          <w:tcPr>
            <w:tcW w:w="4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-0.07</w:t>
            </w:r>
          </w:p>
        </w:tc>
        <w:tc>
          <w:tcPr>
            <w:tcW w:w="4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-0.07</w:t>
            </w:r>
          </w:p>
        </w:tc>
        <w:tc>
          <w:tcPr>
            <w:tcW w:w="49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0.2</w:t>
            </w:r>
          </w:p>
        </w:tc>
        <w:tc>
          <w:tcPr>
            <w:tcW w:w="3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70%</w:t>
            </w:r>
          </w:p>
        </w:tc>
        <w:tc>
          <w:tcPr>
            <w:tcW w:w="103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/>
                <w:woUserID w:val="1"/>
              </w:rPr>
              <w:t>实现汽车电子产品升级、能力升级</w:t>
            </w:r>
          </w:p>
        </w:tc>
      </w:tr>
    </w:tbl>
    <w:p>
      <w:pPr>
        <w:pStyle w:val="2"/>
        <w:spacing w:line="560" w:lineRule="exact"/>
        <w:ind w:left="0" w:leftChars="0" w:firstLine="0" w:firstLineChars="0"/>
        <w:rPr>
          <w:rFonts w:hint="eastAsia" w:ascii="仿宋_GB2312" w:hAnsi="Calibri" w:eastAsia="仿宋_GB2312" w:cs="仿宋_GB2312"/>
          <w:bCs/>
          <w:kern w:val="2"/>
          <w:sz w:val="32"/>
          <w:szCs w:val="32"/>
          <w:lang w:val="en-US" w:eastAsia="zh-CN" w:bidi="ar"/>
          <w:woUserID w:val="2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1"/>
        </w:rPr>
        <w:t xml:space="preserve">    </w:t>
      </w:r>
      <w:r>
        <w:rPr>
          <w:rFonts w:hint="eastAsia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研发预算。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eastAsia="zh-CN" w:bidi="ar"/>
          <w:woUserID w:val="1"/>
        </w:rPr>
        <w:t>集团重点强化关键科技攻关，引导科技创新投入。</w:t>
      </w:r>
      <w:r>
        <w:rPr>
          <w:rFonts w:hint="eastAsia" w:ascii="仿宋_GB2312" w:hAnsi="Calibri" w:eastAsia="仿宋_GB2312" w:cs="仿宋_GB2312"/>
          <w:bCs/>
          <w:kern w:val="2"/>
          <w:sz w:val="32"/>
          <w:szCs w:val="32"/>
          <w:lang w:val="en-US" w:eastAsia="zh-CN" w:bidi="ar"/>
          <w:woUserID w:val="2"/>
        </w:rPr>
        <w:t>集团研发费用预算14.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lang w:eastAsia="zh-CN" w:bidi="ar"/>
          <w:woUserID w:val="2"/>
        </w:rPr>
        <w:t>9</w:t>
      </w:r>
      <w:r>
        <w:rPr>
          <w:rFonts w:hint="eastAsia" w:ascii="仿宋_GB2312" w:hAnsi="Calibri" w:eastAsia="仿宋_GB2312" w:cs="仿宋_GB2312"/>
          <w:bCs/>
          <w:kern w:val="2"/>
          <w:sz w:val="32"/>
          <w:szCs w:val="32"/>
          <w:lang w:val="en-US" w:eastAsia="zh-CN" w:bidi="ar"/>
          <w:woUserID w:val="2"/>
        </w:rPr>
        <w:t>亿元，同比增长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lang w:eastAsia="zh-CN" w:bidi="ar"/>
          <w:woUserID w:val="2"/>
        </w:rPr>
        <w:t>8.7</w:t>
      </w:r>
      <w:r>
        <w:rPr>
          <w:rFonts w:hint="eastAsia" w:ascii="仿宋_GB2312" w:hAnsi="Calibri" w:eastAsia="仿宋_GB2312" w:cs="仿宋_GB2312"/>
          <w:bCs/>
          <w:kern w:val="2"/>
          <w:sz w:val="32"/>
          <w:szCs w:val="32"/>
          <w:lang w:val="en-US" w:eastAsia="zh-CN" w:bidi="ar"/>
          <w:woUserID w:val="2"/>
        </w:rPr>
        <w:t>%；集团有科技创新活动的公司研发投入强度预算7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lang w:eastAsia="zh-CN" w:bidi="ar"/>
          <w:woUserID w:val="2"/>
        </w:rPr>
        <w:t>.2</w:t>
      </w:r>
      <w:r>
        <w:rPr>
          <w:rFonts w:hint="eastAsia" w:ascii="仿宋_GB2312" w:hAnsi="Calibri" w:eastAsia="仿宋_GB2312" w:cs="仿宋_GB2312"/>
          <w:bCs/>
          <w:kern w:val="2"/>
          <w:sz w:val="32"/>
          <w:szCs w:val="32"/>
          <w:lang w:val="en-US" w:eastAsia="zh-CN" w:bidi="ar"/>
          <w:woUserID w:val="2"/>
        </w:rPr>
        <w:t>%，满足年度任务目标（不低于7%）。</w:t>
      </w:r>
    </w:p>
    <w:p>
      <w:pPr>
        <w:pStyle w:val="2"/>
        <w:spacing w:line="560" w:lineRule="exact"/>
        <w:ind w:left="0" w:leftChars="0" w:firstLine="0" w:firstLineChars="0"/>
        <w:rPr>
          <w:rFonts w:hint="default" w:ascii="仿宋_GB2312" w:hAnsi="Calibri" w:eastAsia="仿宋_GB2312" w:cs="仿宋_GB2312"/>
          <w:bCs/>
          <w:kern w:val="2"/>
          <w:sz w:val="32"/>
          <w:szCs w:val="32"/>
          <w:highlight w:val="none"/>
          <w:lang w:val="en-US" w:eastAsia="zh-CN" w:bidi="ar"/>
          <w:woUserID w:val="2"/>
        </w:rPr>
      </w:pPr>
      <w:r>
        <w:rPr>
          <w:rFonts w:hint="default" w:ascii="仿宋_GB2312" w:hAnsi="Calibri" w:eastAsia="仿宋_GB2312" w:cs="仿宋_GB2312"/>
          <w:b/>
          <w:bCs w:val="0"/>
          <w:kern w:val="2"/>
          <w:sz w:val="32"/>
          <w:szCs w:val="32"/>
          <w:lang w:eastAsia="zh-CN" w:bidi="ar"/>
          <w:woUserID w:val="2"/>
        </w:rPr>
        <w:t xml:space="preserve">    </w:t>
      </w:r>
      <w:r>
        <w:rPr>
          <w:rFonts w:hint="eastAsia" w:ascii="仿宋_GB2312" w:hAnsi="Calibri" w:eastAsia="仿宋_GB2312" w:cs="仿宋_GB2312"/>
          <w:b/>
          <w:bCs w:val="0"/>
          <w:kern w:val="2"/>
          <w:sz w:val="32"/>
          <w:szCs w:val="32"/>
          <w:lang w:val="en-US" w:eastAsia="zh-CN" w:bidi="ar"/>
          <w:woUserID w:val="2"/>
        </w:rPr>
        <w:t>人力资源预算。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highlight w:val="none"/>
          <w:lang w:val="en-US" w:eastAsia="zh-CN" w:bidi="ar"/>
          <w:woUserID w:val="1"/>
        </w:rPr>
        <w:t>2024年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highlight w:val="none"/>
          <w:lang w:eastAsia="zh-CN" w:bidi="ar"/>
          <w:woUserID w:val="1"/>
        </w:rPr>
        <w:t>，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highlight w:val="none"/>
          <w:lang w:val="en-US" w:eastAsia="zh-CN" w:bidi="ar"/>
          <w:woUserID w:val="1"/>
        </w:rPr>
        <w:t>集团人数预算26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highlight w:val="none"/>
          <w:lang w:eastAsia="zh-CN" w:bidi="ar"/>
          <w:woUserID w:val="1"/>
        </w:rPr>
        <w:t>211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highlight w:val="none"/>
          <w:lang w:val="en-US" w:eastAsia="zh-CN" w:bidi="ar"/>
          <w:woUserID w:val="1"/>
        </w:rPr>
        <w:t>人，同比增长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highlight w:val="none"/>
          <w:lang w:eastAsia="zh-CN" w:bidi="ar"/>
          <w:woUserID w:val="1"/>
        </w:rPr>
        <w:t>17.5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highlight w:val="none"/>
          <w:lang w:val="en-US" w:eastAsia="zh-CN" w:bidi="ar"/>
          <w:woUserID w:val="1"/>
        </w:rPr>
        <w:t>%；人工成本预算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highlight w:val="none"/>
          <w:lang w:eastAsia="zh-CN" w:bidi="ar"/>
          <w:woUserID w:val="1"/>
        </w:rPr>
        <w:t>37.6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highlight w:val="none"/>
          <w:lang w:val="en-US" w:eastAsia="zh-CN" w:bidi="ar"/>
          <w:woUserID w:val="1"/>
        </w:rPr>
        <w:t>亿元，同比增长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highlight w:val="none"/>
          <w:lang w:eastAsia="zh-CN" w:bidi="ar"/>
          <w:woUserID w:val="1"/>
        </w:rPr>
        <w:t>15.3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highlight w:val="none"/>
          <w:lang w:val="en-US" w:eastAsia="zh-CN" w:bidi="ar"/>
          <w:woUserID w:val="1"/>
        </w:rPr>
        <w:t>%；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highlight w:val="none"/>
          <w:lang w:eastAsia="zh-CN" w:bidi="ar"/>
          <w:woUserID w:val="1"/>
        </w:rPr>
        <w:t>人均人工成本预算14.4万元，同比下降2.0%。</w:t>
      </w:r>
    </w:p>
    <w:p>
      <w:pPr>
        <w:pStyle w:val="2"/>
        <w:spacing w:line="560" w:lineRule="exact"/>
        <w:ind w:left="0" w:leftChars="0" w:firstLine="0" w:firstLineChars="0"/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 xml:space="preserve">    </w:t>
      </w:r>
      <w:r>
        <w:rPr>
          <w:rFonts w:hint="eastAsia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股权投资预算。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集团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>强化主业投资，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股权投资预算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  <w:woUserID w:val="1"/>
        </w:rPr>
        <w:t>资金支出预算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>45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  <w:woUserID w:val="1"/>
        </w:rPr>
        <w:t>.34亿元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>，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项目共31项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>。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>其中，总部预算37.3亿元、军工电子预算2.53亿元，通信与智能终端0.46亿元，高端元器件3.24亿元。</w:t>
      </w:r>
    </w:p>
    <w:p>
      <w:pPr>
        <w:pStyle w:val="2"/>
        <w:spacing w:line="560" w:lineRule="exact"/>
        <w:ind w:left="0" w:leftChars="0" w:firstLine="0" w:firstLineChars="0"/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 xml:space="preserve">    </w:t>
      </w:r>
      <w:r>
        <w:rPr>
          <w:rFonts w:hint="eastAsia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能力建设投资预算。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eastAsia="zh-CN" w:bidi="ar"/>
          <w:woUserID w:val="1"/>
        </w:rPr>
        <w:t>为重点支撑五大领军型产业集群能力提升，</w:t>
      </w:r>
      <w:r>
        <w:rPr>
          <w:rFonts w:hint="eastAsia" w:ascii="仿宋_GB2312" w:hAnsi="Calibri" w:eastAsia="仿宋_GB2312" w:cs="仿宋_GB2312"/>
          <w:b w:val="0"/>
          <w:bCs w:val="0"/>
          <w:kern w:val="2"/>
          <w:sz w:val="32"/>
          <w:szCs w:val="32"/>
          <w:lang w:val="en-US" w:eastAsia="zh-CN" w:bidi="ar"/>
          <w:woUserID w:val="2"/>
        </w:rPr>
        <w:t>集团能力建设项</w:t>
      </w:r>
      <w:r>
        <w:rPr>
          <w:rFonts w:hint="eastAsia" w:ascii="仿宋_GB2312" w:hAnsi="Calibri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  <w:woUserID w:val="2"/>
        </w:rPr>
        <w:t>目共3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highlight w:val="none"/>
          <w:lang w:eastAsia="zh-CN" w:bidi="ar"/>
          <w:woUserID w:val="2"/>
        </w:rPr>
        <w:t>6</w:t>
      </w:r>
      <w:r>
        <w:rPr>
          <w:rFonts w:hint="eastAsia" w:ascii="仿宋_GB2312" w:hAnsi="Calibri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  <w:woUserID w:val="2"/>
        </w:rPr>
        <w:t>项，投资预算15.4亿元。其中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highlight w:val="none"/>
          <w:lang w:eastAsia="zh-CN" w:bidi="ar"/>
          <w:woUserID w:val="2"/>
        </w:rPr>
        <w:t>，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highlight w:val="none"/>
          <w:lang w:eastAsia="zh-CN" w:bidi="ar"/>
          <w:woUserID w:val="1"/>
        </w:rPr>
        <w:t>军工电子预算3.8亿元，通信与智能终端预算1.6亿元，高端元器件预算6.2亿元，汽车电子与装备预算2.2亿。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leftChars="0" w:right="0" w:firstLine="0" w:firstLineChars="0"/>
        <w:jc w:val="both"/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 xml:space="preserve">    </w:t>
      </w:r>
      <w:r>
        <w:rPr>
          <w:rFonts w:hint="eastAsia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数字化预算。</w:t>
      </w:r>
      <w:r>
        <w:rPr>
          <w:rFonts w:hint="eastAsia" w:ascii="仿宋_GB2312" w:hAnsi="Calibri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  <w:woUserID w:val="2"/>
        </w:rPr>
        <w:t>集团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  <w:woUserID w:val="2"/>
        </w:rPr>
        <w:t>强力推进集团数字化转型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highlight w:val="none"/>
          <w:lang w:eastAsia="zh-CN" w:bidi="ar"/>
          <w:woUserID w:val="2"/>
        </w:rPr>
        <w:t>，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  <w:woUserID w:val="2"/>
        </w:rPr>
        <w:t>启动建设IT底座、财务数字化、智慧园区、智能制造、数字采购等5大工程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highlight w:val="none"/>
          <w:lang w:eastAsia="zh-CN" w:bidi="ar"/>
          <w:woUserID w:val="2"/>
        </w:rPr>
        <w:t>，</w:t>
      </w:r>
      <w:r>
        <w:rPr>
          <w:rFonts w:hint="eastAsia" w:ascii="仿宋_GB2312" w:hAnsi="Calibri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  <w:woUserID w:val="2"/>
        </w:rPr>
        <w:t>数字化项目投资预算1.43亿元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  <w:woUserID w:val="2"/>
        </w:rPr>
        <w:t>。</w:t>
      </w:r>
    </w:p>
    <w:p>
      <w:pPr>
        <w:pStyle w:val="2"/>
        <w:rPr>
          <w:rFonts w:hint="eastAsia" w:ascii="楷体_GB2312" w:hAnsi="楷体_GB2312" w:eastAsia="楷体_GB2312" w:cs="楷体_GB2312"/>
          <w:b/>
          <w:bCs/>
          <w:lang w:eastAsia="zh-CN"/>
          <w:woUserID w:val="2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  <w:woUserID w:val="2"/>
        </w:rPr>
        <w:t xml:space="preserve">    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  <w:woUserID w:val="2"/>
        </w:rPr>
        <w:t>（二）总部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  <w:woUserID w:val="2"/>
        </w:rPr>
        <w:t>2024年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  <w:woUserID w:val="2"/>
        </w:rPr>
        <w:t>预算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1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  <w:woUserID w:val="1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1"/>
        </w:rPr>
        <w:t>2024年总部利润盈亏平衡，经营性资金净流入无法覆盖投资性资金流出。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1"/>
        </w:rPr>
        <w:t>营收预算4.0亿元，同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lang w:val="en-US" w:eastAsia="zh-CN" w:bidi="ar"/>
          <w:woUserID w:val="1"/>
        </w:rPr>
        <w:t>比增长6.8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1"/>
        </w:rPr>
        <w:t>%；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lang w:val="en-US" w:eastAsia="zh-CN" w:bidi="ar"/>
          <w:woUserID w:val="1"/>
        </w:rPr>
        <w:t>利润总额预算38万元，同比下降99.6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1"/>
        </w:rPr>
        <w:t>%（去年同期含华丰公允价值变动损益5776万）。经营性资金净流入5.1亿元，同比增加0.17亿元；投资性资金净流出37亿元(含对九洲电器投资25亿)，同比增加31亿元；国有资本金、产业公司借款、利息等净流出11.65亿元，同比增加3.9亿元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woUserID w:val="1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 xml:space="preserve">    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1"/>
        </w:rPr>
        <w:t>资金预算缺口43.5亿元，计划通过筹资弥补缺口。筹资性资金净流入44亿元（含引入国开基金股权融资25亿），同比增加23亿元。</w:t>
      </w:r>
    </w:p>
    <w:p>
      <w:pPr>
        <w:pStyle w:val="2"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  <w:woUserID w:val="2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2"/>
        </w:rPr>
        <w:t xml:space="preserve">    集团及总部2024年全面预算明细详见附件1。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  <w:woUserID w:val="2"/>
        </w:rPr>
      </w:pPr>
      <w:r>
        <w:rPr>
          <w:rFonts w:hint="default" w:ascii="黑体" w:hAnsi="黑体" w:eastAsia="黑体" w:cs="黑体"/>
          <w:sz w:val="32"/>
          <w:szCs w:val="32"/>
          <w:lang w:eastAsia="zh-CN"/>
          <w:woUserID w:val="2"/>
        </w:rPr>
        <w:t>三、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  <w:woUserID w:val="2"/>
        </w:rPr>
        <w:t>决策事项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D0D0D"/>
          <w:kern w:val="0"/>
          <w:sz w:val="32"/>
          <w:szCs w:val="32"/>
          <w:lang w:bidi="ar"/>
          <w:woUserID w:val="1"/>
        </w:rPr>
      </w:pPr>
      <w:r>
        <w:rPr>
          <w:rFonts w:hint="default" w:ascii="仿宋_GB2312" w:hAnsi="仿宋_GB2312" w:eastAsia="仿宋_GB2312" w:cs="仿宋_GB2312"/>
          <w:color w:val="0D0D0D"/>
          <w:kern w:val="0"/>
          <w:sz w:val="32"/>
          <w:szCs w:val="32"/>
          <w:lang w:bidi="ar"/>
          <w:woUserID w:val="1"/>
        </w:rPr>
        <w:t>1. 同意集团2024年预算</w:t>
      </w:r>
      <w:r>
        <w:rPr>
          <w:rFonts w:hint="default" w:ascii="仿宋_GB2312" w:hAnsi="仿宋_GB2312" w:eastAsia="仿宋_GB2312" w:cs="仿宋_GB2312"/>
          <w:color w:val="0D0D0D"/>
          <w:kern w:val="0"/>
          <w:sz w:val="32"/>
          <w:szCs w:val="32"/>
          <w:lang w:bidi="ar"/>
          <w:woUserID w:val="1"/>
        </w:rPr>
        <w:t>并</w:t>
      </w:r>
      <w:r>
        <w:rPr>
          <w:rFonts w:hint="default" w:ascii="仿宋_GB2312" w:hAnsi="仿宋_GB2312" w:eastAsia="仿宋_GB2312" w:cs="仿宋_GB2312"/>
          <w:color w:val="0D0D0D"/>
          <w:kern w:val="0"/>
          <w:sz w:val="32"/>
          <w:szCs w:val="32"/>
          <w:lang w:bidi="ar"/>
          <w:woUserID w:val="1"/>
        </w:rPr>
        <w:t>按</w:t>
      </w:r>
      <w:r>
        <w:rPr>
          <w:rFonts w:hint="default" w:ascii="仿宋_GB2312" w:hAnsi="仿宋_GB2312" w:eastAsia="仿宋_GB2312" w:cs="仿宋_GB2312"/>
          <w:color w:val="0D0D0D"/>
          <w:kern w:val="0"/>
          <w:sz w:val="32"/>
          <w:szCs w:val="32"/>
          <w:lang w:bidi="ar"/>
          <w:woUserID w:val="1"/>
        </w:rPr>
        <w:t>内部控制预算目标“营收</w:t>
      </w:r>
      <w:r>
        <w:rPr>
          <w:rFonts w:hint="default" w:ascii="仿宋_GB2312" w:hAnsi="仿宋_GB2312" w:eastAsia="仿宋_GB2312" w:cs="仿宋_GB2312"/>
          <w:color w:val="0D0D0D"/>
          <w:kern w:val="0"/>
          <w:sz w:val="32"/>
          <w:szCs w:val="32"/>
          <w:lang w:bidi="ar"/>
          <w:woUserID w:val="1"/>
        </w:rPr>
        <w:t>450亿元，利润8亿元</w:t>
      </w:r>
      <w:bookmarkStart w:id="0" w:name="_GoBack"/>
      <w:r>
        <w:rPr>
          <w:rFonts w:hint="default" w:ascii="仿宋_GB2312" w:hAnsi="仿宋_GB2312" w:eastAsia="仿宋_GB2312" w:cs="仿宋_GB2312"/>
          <w:color w:val="0D0D0D"/>
          <w:kern w:val="0"/>
          <w:sz w:val="32"/>
          <w:szCs w:val="32"/>
          <w:lang w:bidi="ar"/>
          <w:woUserID w:val="1"/>
        </w:rPr>
        <w:t>”</w:t>
      </w:r>
      <w:bookmarkEnd w:id="0"/>
      <w:r>
        <w:rPr>
          <w:rFonts w:hint="default" w:ascii="仿宋_GB2312" w:hAnsi="仿宋_GB2312" w:eastAsia="仿宋_GB2312" w:cs="仿宋_GB2312"/>
          <w:color w:val="0D0D0D"/>
          <w:kern w:val="0"/>
          <w:sz w:val="32"/>
          <w:szCs w:val="32"/>
          <w:lang w:bidi="ar"/>
          <w:woUserID w:val="1"/>
        </w:rPr>
        <w:t>提请董事会决策。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D0D0D"/>
          <w:kern w:val="0"/>
          <w:sz w:val="32"/>
          <w:szCs w:val="32"/>
          <w:lang w:bidi="ar"/>
          <w:woUserID w:val="1"/>
        </w:rPr>
      </w:pPr>
      <w:r>
        <w:rPr>
          <w:rFonts w:hint="default" w:ascii="仿宋_GB2312" w:hAnsi="仿宋_GB2312" w:eastAsia="仿宋_GB2312" w:cs="仿宋_GB2312"/>
          <w:color w:val="0D0D0D"/>
          <w:kern w:val="0"/>
          <w:sz w:val="32"/>
          <w:szCs w:val="32"/>
          <w:lang w:bidi="ar"/>
          <w:woUserID w:val="1"/>
        </w:rPr>
        <w:t>2. 同意总部2024预算并提请董事会决策。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eastAsia="zh-CN"/>
          <w:woUserID w:val="3"/>
        </w:rPr>
      </w:pPr>
      <w:r>
        <w:rPr>
          <w:rFonts w:hint="default" w:ascii="黑体" w:hAnsi="黑体" w:eastAsia="黑体" w:cs="黑体"/>
          <w:sz w:val="32"/>
          <w:szCs w:val="32"/>
          <w:lang w:eastAsia="zh-CN"/>
          <w:woUserID w:val="2"/>
        </w:rPr>
        <w:t>四</w:t>
      </w:r>
      <w:r>
        <w:rPr>
          <w:rFonts w:hint="eastAsia" w:ascii="黑体" w:hAnsi="黑体" w:eastAsia="黑体" w:cs="黑体"/>
          <w:sz w:val="32"/>
          <w:szCs w:val="32"/>
          <w:lang w:val="en-US" w:eastAsia="zh-CN"/>
          <w:woUserID w:val="2"/>
        </w:rPr>
        <w:t>、风险提示</w:t>
      </w:r>
      <w:r>
        <w:rPr>
          <w:rFonts w:hint="default" w:ascii="黑体" w:hAnsi="黑体" w:eastAsia="黑体" w:cs="黑体"/>
          <w:sz w:val="32"/>
          <w:szCs w:val="32"/>
          <w:lang w:eastAsia="zh-CN"/>
          <w:woUserID w:val="3"/>
        </w:rPr>
        <w:t>及应对措施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560" w:lineRule="exact"/>
        <w:ind w:left="0" w:leftChars="0" w:right="0" w:rightChars="0" w:firstLine="0" w:firstLineChars="0"/>
        <w:jc w:val="both"/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eastAsia="zh-CN" w:bidi="ar"/>
          <w:woUserID w:val="1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3"/>
        </w:rPr>
        <w:t xml:space="preserve">    1.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1"/>
        </w:rPr>
        <w:t>集团</w:t>
      </w:r>
      <w:r>
        <w:rPr>
          <w:rFonts w:hint="eastAsia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1"/>
        </w:rPr>
        <w:t>业务预算执行存在</w:t>
      </w:r>
      <w:r>
        <w:rPr>
          <w:rFonts w:hint="eastAsia" w:ascii="仿宋_GB2312" w:eastAsia="仿宋_GB2312" w:cs="仿宋_GB2312"/>
          <w:b/>
          <w:bCs/>
          <w:kern w:val="2"/>
          <w:sz w:val="32"/>
          <w:szCs w:val="32"/>
          <w:lang w:val="en-US" w:eastAsia="zh-CN" w:bidi="ar"/>
          <w:woUserID w:val="1"/>
        </w:rPr>
        <w:t>较大</w:t>
      </w:r>
      <w:r>
        <w:rPr>
          <w:rFonts w:hint="eastAsia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1"/>
        </w:rPr>
        <w:t>不确定性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  <w:woUserID w:val="1"/>
        </w:rPr>
        <w:t>。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>军工电子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shd w:val="clear" w:fill="FFFFFF"/>
          <w:lang w:val="en-US" w:eastAsia="zh-CN" w:bidi="ar"/>
          <w:woUserID w:val="1"/>
        </w:rPr>
        <w:t>面临新老平台换代期和行业整肃治理双重压力，以及</w:t>
      </w:r>
      <w:r>
        <w:rPr>
          <w:rFonts w:hint="eastAsia" w:ascii="仿宋_GB2312" w:hAnsi="Calibri" w:eastAsia="仿宋_GB2312" w:cs="仿宋_GB2312"/>
          <w:b w:val="0"/>
          <w:bCs w:val="0"/>
          <w:kern w:val="2"/>
          <w:sz w:val="32"/>
          <w:szCs w:val="32"/>
          <w:shd w:val="clear" w:fill="FFFFFF"/>
          <w:lang w:val="en-US" w:eastAsia="zh-CN" w:bidi="ar"/>
          <w:woUserID w:val="1"/>
        </w:rPr>
        <w:t>军品降价、军品审价等因素，</w:t>
      </w:r>
      <w:r>
        <w:rPr>
          <w:rFonts w:hint="eastAsia" w:ascii="仿宋_GB2312" w:hAnsi="Calibri" w:eastAsia="仿宋_GB2312" w:cs="仿宋_GB2312"/>
          <w:b w:val="0"/>
          <w:bCs w:val="0"/>
          <w:kern w:val="2"/>
          <w:sz w:val="32"/>
          <w:szCs w:val="32"/>
          <w:lang w:val="en-US" w:eastAsia="zh-CN" w:bidi="ar"/>
          <w:woUserID w:val="1"/>
        </w:rPr>
        <w:t>订单不足，毛利率下降，利润下滑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eastAsia="zh-CN" w:bidi="ar"/>
          <w:woUserID w:val="1"/>
        </w:rPr>
        <w:t>，预计营收缺口5亿元，利润缺口1.6亿元；通信与智能终端海外市场拓展受“去中化”影响，预计营收缺口2.1亿元；软件与数据智能受国家政策影响，预计营收缺口28.5亿元，利润缺口4000万元。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560" w:lineRule="exact"/>
        <w:ind w:left="0" w:leftChars="0" w:right="0" w:rightChars="0" w:firstLine="0" w:firstLineChars="0"/>
        <w:jc w:val="both"/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eastAsia="zh-CN" w:bidi="ar"/>
          <w:woUserID w:val="1"/>
        </w:rPr>
      </w:pP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eastAsia="zh-CN" w:bidi="ar"/>
          <w:woUserID w:val="1"/>
        </w:rPr>
        <w:t xml:space="preserve">   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1"/>
        </w:rPr>
        <w:t xml:space="preserve"> 应对措施：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1"/>
        </w:rPr>
        <w:t>各公司高质量完成年度目标。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val="en-US" w:eastAsia="zh-CN" w:bidi="ar"/>
          <w:woUserID w:val="1"/>
        </w:rPr>
        <w:t>各公司要紧密围绕年度经营方针与目标，深化团结协作精神，充分发挥集团的整体优势，以更坚定的决心和行动狠抓市场开拓，不遗余力地稳定存量业务和拓展新的业务增长点。同时，牢固树立“习惯过紧日子”的思想，不断在控制成本费用和提升运营效率上寻找新的突破口，推进企业降本增效，确保全面完成各项经营目标任务。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560" w:lineRule="exact"/>
        <w:ind w:left="0" w:leftChars="0" w:right="0" w:rightChars="0" w:firstLine="0" w:firstLineChars="0"/>
        <w:jc w:val="both"/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eastAsia="zh-CN" w:bidi="ar"/>
          <w:woUserID w:val="3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3"/>
        </w:rPr>
        <w:t xml:space="preserve">    2.期间费用率预算数同比下降但费用预算总额同比增加。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3"/>
        </w:rPr>
        <w:t>集团整体期间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3"/>
        </w:rPr>
        <w:t>费用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3"/>
        </w:rPr>
        <w:t>的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3"/>
        </w:rPr>
        <w:t>相对比例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3"/>
        </w:rPr>
        <w:t>同比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3"/>
        </w:rPr>
        <w:t>下降18.1%，但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3"/>
        </w:rPr>
        <w:t>费用总额的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3"/>
        </w:rPr>
        <w:t>绝对额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3"/>
        </w:rPr>
        <w:t>同比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3"/>
        </w:rPr>
        <w:t>增加4.04亿元，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3"/>
        </w:rPr>
        <w:t>由于费用支出往往先于流入，费用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3"/>
        </w:rPr>
        <w:t>控制任务艰巨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3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1" w:firstLineChars="200"/>
        <w:jc w:val="left"/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eastAsia="zh-CN" w:bidi="ar"/>
          <w:woUserID w:val="3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3"/>
        </w:rPr>
        <w:t>应对措施：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3"/>
        </w:rPr>
        <w:t>加大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3"/>
        </w:rPr>
        <w:t>费用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3"/>
        </w:rPr>
        <w:t>预算管控力度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3"/>
        </w:rPr>
        <w:t>。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val="en-US" w:eastAsia="zh-CN" w:bidi="ar"/>
          <w:woUserID w:val="3"/>
        </w:rPr>
        <w:t>一是加快推动费控系统建设，强化集团直控力度，严控标准、严格审批、严控支出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eastAsia="zh-CN" w:bidi="ar"/>
          <w:woUserID w:val="3"/>
        </w:rPr>
        <w:t>；二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val="en-US" w:eastAsia="zh-CN" w:bidi="ar"/>
          <w:woUserID w:val="3"/>
        </w:rPr>
        <w:t>是加强过程监督，定期分析产业公司费用预算执行情况，及时向超标产业公司发出“红灯”预警；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eastAsia="zh-CN" w:bidi="ar"/>
          <w:woUserID w:val="3"/>
        </w:rPr>
        <w:t>三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val="en-US" w:eastAsia="zh-CN" w:bidi="ar"/>
          <w:woUserID w:val="3"/>
        </w:rPr>
        <w:t>是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eastAsia="zh-CN" w:bidi="ar"/>
          <w:woUserID w:val="3"/>
        </w:rPr>
        <w:t>加强预算执行率考核，将各单位年度预算执行率纳入各单位年度组织绩效考核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3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left"/>
        <w:rPr>
          <w:rFonts w:hint="eastAsia" w:ascii="仿宋_GB2312" w:hAnsi="Calibri" w:eastAsia="仿宋_GB2312" w:cs="仿宋_GB2312"/>
          <w:b w:val="0"/>
          <w:bCs w:val="0"/>
          <w:kern w:val="2"/>
          <w:sz w:val="32"/>
          <w:szCs w:val="32"/>
          <w:lang w:val="en-US" w:eastAsia="zh-CN" w:bidi="ar"/>
          <w:woUserID w:val="1"/>
        </w:rPr>
      </w:pP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eastAsia="zh-CN" w:bidi="ar"/>
          <w:woUserID w:val="1"/>
        </w:rPr>
        <w:t>3.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1"/>
        </w:rPr>
        <w:t>集团经营性现金流无法覆盖投资支出，筹资额每年均为净增长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eastAsia="zh-CN" w:bidi="ar"/>
          <w:woUserID w:val="1"/>
        </w:rPr>
        <w:t>。集团筹资总额持续增长，年末资产负债率逼近70%，债务筹资空间已极为有限。2024年集团经营性现金流净额预算仅3.5亿，同比减少5.1亿。其中净流出预算增加的公司有：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val="en-US" w:eastAsia="zh-CN" w:bidi="ar"/>
          <w:woUserID w:val="1"/>
        </w:rPr>
        <w:t>九洲电器增加8亿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eastAsia="zh-CN" w:bidi="ar"/>
          <w:woUserID w:val="1"/>
        </w:rPr>
        <w:t>，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val="en-US" w:eastAsia="zh-CN" w:bidi="ar"/>
          <w:woUserID w:val="1"/>
        </w:rPr>
        <w:t>科瑞增加3.8亿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eastAsia="zh-CN" w:bidi="ar"/>
          <w:woUserID w:val="1"/>
        </w:rPr>
        <w:t>，九洲空管增加2.19亿，深圳九洲电器增加1.25亿，九州科技增加0.6亿。2024年集团投资支出预算为-28亿，存在资金缺口，计划增加债务融资预算28亿。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1" w:firstLineChars="200"/>
        <w:jc w:val="left"/>
        <w:rPr>
          <w:rFonts w:ascii="仿宋_GB2312" w:hAnsi="Times New Roman" w:eastAsia="仿宋_GB2312" w:cs="仿宋_GB2312"/>
          <w:sz w:val="32"/>
          <w:szCs w:val="32"/>
          <w:woUserID w:val="3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3"/>
        </w:rPr>
        <w:t>应对措施：加强“两金”管控提高资金运营效率。</w:t>
      </w:r>
      <w:r>
        <w:rPr>
          <w:rFonts w:ascii="仿宋_GB2312" w:hAnsi="Times New Roman" w:eastAsia="仿宋_GB2312" w:cs="仿宋_GB2312"/>
          <w:sz w:val="32"/>
          <w:szCs w:val="32"/>
          <w:woUserID w:val="3"/>
        </w:rPr>
        <w:t>持续开展现金流保障行动，落实“两金”</w:t>
      </w:r>
      <w:r>
        <w:rPr>
          <w:rFonts w:ascii="仿宋_GB2312" w:hAnsi="方正小标宋简体" w:eastAsia="仿宋_GB2312" w:cs="仿宋_GB2312"/>
          <w:bCs/>
          <w:sz w:val="32"/>
          <w:szCs w:val="32"/>
          <w:lang w:bidi="ar"/>
          <w:woUserID w:val="3"/>
        </w:rPr>
        <w:t>分析监控和风险防范。一是完善集团顶层制度修订，明确指标考核导向，强化经营性现金流管理；二是落实过程管控，持续开展月调度和监督检查。三是强化逾期应收账款和呆滞积压存货管理，对问题资产实施清单销号管理</w:t>
      </w:r>
      <w:r>
        <w:rPr>
          <w:rFonts w:ascii="仿宋_GB2312" w:hAnsi="Times New Roman" w:eastAsia="仿宋_GB2312" w:cs="仿宋_GB2312"/>
          <w:sz w:val="32"/>
          <w:szCs w:val="32"/>
          <w:woUserID w:val="3"/>
        </w:rPr>
        <w:t>。</w:t>
      </w:r>
    </w:p>
    <w:p>
      <w:pPr>
        <w:autoSpaceDE w:val="0"/>
        <w:spacing w:line="560" w:lineRule="exact"/>
        <w:ind w:firstLine="640" w:firstLineChars="200"/>
        <w:outlineLvl w:val="0"/>
        <w:rPr>
          <w:rFonts w:hint="eastAsia" w:ascii="黑体" w:hAnsi="宋体" w:eastAsia="黑体" w:cs="黑体"/>
          <w:sz w:val="32"/>
          <w:szCs w:val="32"/>
          <w:lang w:bidi="ar"/>
          <w:woUserID w:val="3"/>
        </w:rPr>
      </w:pPr>
      <w:r>
        <w:rPr>
          <w:rFonts w:hint="eastAsia" w:ascii="黑体" w:hAnsi="宋体" w:eastAsia="黑体" w:cs="黑体"/>
          <w:sz w:val="32"/>
          <w:szCs w:val="32"/>
          <w:lang w:bidi="ar"/>
          <w:woUserID w:val="3"/>
        </w:rPr>
        <w:t>五、决策依据</w:t>
      </w:r>
    </w:p>
    <w:p>
      <w:pPr>
        <w:adjustRightIn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woUserID w:val="3"/>
        </w:rPr>
      </w:pPr>
      <w:r>
        <w:rPr>
          <w:rFonts w:hint="eastAsia" w:ascii="仿宋_GB2312" w:hAnsi="仿宋_GB2312" w:eastAsia="仿宋_GB2312" w:cs="仿宋_GB2312"/>
          <w:sz w:val="32"/>
          <w:szCs w:val="32"/>
          <w:woUserID w:val="3"/>
        </w:rPr>
        <w:t>本次年度</w:t>
      </w:r>
      <w:r>
        <w:rPr>
          <w:rFonts w:hint="default" w:ascii="仿宋_GB2312" w:hAnsi="仿宋_GB2312" w:eastAsia="仿宋_GB2312" w:cs="仿宋_GB2312"/>
          <w:sz w:val="32"/>
          <w:szCs w:val="32"/>
          <w:woUserID w:val="1"/>
        </w:rPr>
        <w:t>全面预算</w:t>
      </w:r>
      <w:r>
        <w:rPr>
          <w:rFonts w:hint="eastAsia" w:ascii="仿宋_GB2312" w:hAnsi="仿宋_GB2312" w:eastAsia="仿宋_GB2312" w:cs="仿宋_GB2312"/>
          <w:sz w:val="32"/>
          <w:szCs w:val="32"/>
          <w:woUserID w:val="3"/>
        </w:rPr>
        <w:t>事项依据《四川九洲投资控股集团有限公司</w:t>
      </w:r>
      <w:r>
        <w:rPr>
          <w:rFonts w:hint="default" w:ascii="仿宋_GB2312" w:hAnsi="仿宋_GB2312" w:eastAsia="仿宋_GB2312" w:cs="仿宋_GB2312"/>
          <w:sz w:val="32"/>
          <w:szCs w:val="32"/>
          <w:woUserID w:val="3"/>
        </w:rPr>
        <w:t>全面预算管理办法</w:t>
      </w:r>
      <w:r>
        <w:rPr>
          <w:rFonts w:hint="eastAsia" w:ascii="仿宋_GB2312" w:hAnsi="仿宋_GB2312" w:eastAsia="仿宋_GB2312" w:cs="仿宋_GB2312"/>
          <w:sz w:val="32"/>
          <w:szCs w:val="32"/>
          <w:woUserID w:val="3"/>
        </w:rPr>
        <w:t>》、《四川九洲投资控股集团有限公司党委会议事规则（试行）》，属于由九洲集团党委会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3"/>
        </w:rPr>
        <w:t>前置</w:t>
      </w:r>
      <w:r>
        <w:rPr>
          <w:rFonts w:hint="eastAsia" w:ascii="仿宋_GB2312" w:hAnsi="仿宋_GB2312" w:eastAsia="仿宋_GB2312" w:cs="仿宋_GB2312"/>
          <w:sz w:val="32"/>
          <w:szCs w:val="32"/>
          <w:woUserID w:val="3"/>
        </w:rPr>
        <w:t>审议事项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  <w:woUserID w:val="3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3"/>
        </w:rPr>
        <w:t>还需上报董事会决策</w:t>
      </w:r>
      <w:r>
        <w:rPr>
          <w:rFonts w:hint="eastAsia" w:ascii="仿宋_GB2312" w:hAnsi="仿宋_GB2312" w:eastAsia="仿宋_GB2312" w:cs="仿宋_GB2312"/>
          <w:sz w:val="32"/>
          <w:szCs w:val="32"/>
          <w:woUserID w:val="3"/>
        </w:rPr>
        <w:t>。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  <w:woUserID w:val="3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woUserID w:val="3"/>
        </w:rPr>
        <w:t>以上议案，请予以审议。</w:t>
      </w:r>
    </w:p>
    <w:p>
      <w:pPr>
        <w:pStyle w:val="2"/>
        <w:spacing w:line="560" w:lineRule="exact"/>
        <w:ind w:left="0" w:leftChars="0" w:firstLine="0" w:firstLineChars="0"/>
        <w:jc w:val="left"/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woUserID w:val="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2"/>
        </w:rPr>
      </w:pPr>
      <w:r>
        <w:rPr>
          <w:rFonts w:hint="default" w:ascii="仿宋_GB2312" w:hAnsi="仿宋_GB2312" w:eastAsia="仿宋_GB2312" w:cs="仿宋_GB2312"/>
          <w:sz w:val="32"/>
          <w:szCs w:val="32"/>
          <w:woUserID w:val="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woUserID w:val="2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woUserID w:val="2"/>
        </w:rPr>
        <w:t>集团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2"/>
        </w:rPr>
        <w:t>及总部</w:t>
      </w:r>
      <w:r>
        <w:rPr>
          <w:rFonts w:hint="eastAsia" w:ascii="仿宋_GB2312" w:hAnsi="仿宋_GB2312" w:eastAsia="仿宋_GB2312" w:cs="仿宋_GB2312"/>
          <w:sz w:val="32"/>
          <w:szCs w:val="32"/>
          <w:woUserID w:val="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2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  <w:woUserID w:val="2"/>
        </w:rPr>
        <w:t>年全面预算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2"/>
        </w:rPr>
        <w:t>报告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2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2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2"/>
        </w:rPr>
        <w:t>2.集团2024年预算表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  <w:woUserID w:val="2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2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2"/>
        </w:rPr>
        <w:t>3.总部2024年预算表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woUserID w:val="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  <w:woUserID w:val="2"/>
        </w:rPr>
      </w:pPr>
      <w:r>
        <w:rPr>
          <w:rFonts w:hint="eastAsia" w:ascii="仿宋_GB2312" w:hAnsi="仿宋_GB2312" w:eastAsia="仿宋_GB2312" w:cs="仿宋_GB2312"/>
          <w:sz w:val="32"/>
          <w:szCs w:val="32"/>
          <w:woUserID w:val="2"/>
        </w:rPr>
        <w:t>提议人：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2"/>
        </w:rPr>
        <w:t>预算工作组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woUserID w:val="2"/>
        </w:rPr>
      </w:pPr>
      <w:r>
        <w:rPr>
          <w:rFonts w:hint="eastAsia" w:ascii="仿宋_GB2312" w:hAnsi="仿宋_GB2312" w:eastAsia="仿宋_GB2312" w:cs="仿宋_GB2312"/>
          <w:sz w:val="32"/>
          <w:szCs w:val="32"/>
          <w:woUserID w:val="2"/>
        </w:rPr>
        <w:t xml:space="preserve">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woUserID w:val="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woUserID w:val="2"/>
        </w:rPr>
        <w:t>年</w:t>
      </w:r>
      <w:r>
        <w:rPr>
          <w:rFonts w:hint="default" w:ascii="仿宋_GB2312" w:hAnsi="仿宋_GB2312" w:eastAsia="仿宋_GB2312" w:cs="仿宋_GB2312"/>
          <w:sz w:val="32"/>
          <w:szCs w:val="32"/>
          <w:woUserID w:val="1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woUserID w:val="2"/>
        </w:rPr>
        <w:t>月</w:t>
      </w:r>
      <w:r>
        <w:rPr>
          <w:rFonts w:hint="default" w:ascii="仿宋_GB2312" w:hAnsi="仿宋_GB2312" w:eastAsia="仿宋_GB2312" w:cs="仿宋_GB2312"/>
          <w:sz w:val="32"/>
          <w:szCs w:val="32"/>
          <w:woUserID w:val="1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  <w:woUserID w:val="2"/>
        </w:rPr>
        <w:t>日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woUserID w:val="2"/>
        </w:rPr>
      </w:pPr>
      <w:r>
        <w:rPr>
          <w:rFonts w:hint="eastAsia" w:ascii="仿宋_GB2312" w:hAnsi="仿宋_GB2312" w:eastAsia="仿宋_GB2312" w:cs="仿宋_GB2312"/>
          <w:sz w:val="32"/>
          <w:szCs w:val="32"/>
          <w:woUserID w:val="2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宋体" w:hAnsi="宋体" w:eastAsia="宋体" w:cs="宋体"/>
          <w:bCs w:val="0"/>
          <w:kern w:val="2"/>
          <w:sz w:val="32"/>
          <w:szCs w:val="32"/>
          <w:lang w:eastAsia="zh-CN" w:bidi="ar"/>
          <w:woUserID w:val="2"/>
        </w:rPr>
      </w:pPr>
      <w:r>
        <w:rPr>
          <w:rFonts w:hint="eastAsia" w:ascii="宋体" w:hAnsi="宋体" w:eastAsia="宋体" w:cs="宋体"/>
          <w:bCs w:val="0"/>
          <w:kern w:val="2"/>
          <w:sz w:val="32"/>
          <w:szCs w:val="32"/>
          <w:lang w:eastAsia="zh-CN" w:bidi="ar"/>
          <w:woUserID w:val="2"/>
        </w:rPr>
        <w:t>附件1</w:t>
      </w:r>
    </w:p>
    <w:p>
      <w:pPr>
        <w:keepNext w:val="0"/>
        <w:keepLines w:val="0"/>
        <w:widowControl w:val="0"/>
        <w:suppressLineNumbers w:val="0"/>
        <w:bidi w:val="0"/>
        <w:spacing w:before="0" w:beforeAutospacing="0" w:after="0" w:afterAutospacing="0"/>
        <w:ind w:left="0" w:right="0"/>
        <w:jc w:val="center"/>
        <w:rPr>
          <w:rFonts w:hint="default"/>
          <w:lang w:eastAsia="zh-CN"/>
          <w:woUserID w:val="2"/>
        </w:rPr>
      </w:pPr>
      <w:r>
        <w:rPr>
          <w:rFonts w:hint="default" w:ascii="方正小标宋简体" w:hAnsi="方正小标宋简体" w:eastAsia="方正小标宋简体" w:cs="方正小标宋简体"/>
          <w:bCs w:val="0"/>
          <w:kern w:val="2"/>
          <w:sz w:val="44"/>
          <w:szCs w:val="44"/>
          <w:lang w:val="en-US" w:eastAsia="zh-CN" w:bidi="ar"/>
          <w:woUserID w:val="5"/>
        </w:rPr>
        <w:t>集团及总部</w:t>
      </w:r>
      <w:r>
        <w:rPr>
          <w:rFonts w:hint="default" w:ascii="方正小标宋简体" w:hAnsi="方正小标宋简体" w:eastAsia="方正小标宋简体" w:cs="方正小标宋简体"/>
          <w:bCs w:val="0"/>
          <w:kern w:val="2"/>
          <w:sz w:val="44"/>
          <w:szCs w:val="44"/>
          <w:lang w:val="en-US" w:eastAsia="zh-CN" w:bidi="ar"/>
          <w:woUserID w:val="2"/>
        </w:rPr>
        <w:t>2024年</w:t>
      </w:r>
      <w:r>
        <w:rPr>
          <w:rFonts w:hint="default" w:ascii="方正小标宋简体" w:hAnsi="方正小标宋简体" w:eastAsia="方正小标宋简体" w:cs="方正小标宋简体"/>
          <w:bCs w:val="0"/>
          <w:kern w:val="2"/>
          <w:sz w:val="44"/>
          <w:szCs w:val="44"/>
          <w:lang w:val="en-US" w:eastAsia="zh-CN" w:bidi="ar"/>
          <w:woUserID w:val="5"/>
        </w:rPr>
        <w:t>全面预算</w:t>
      </w:r>
      <w:r>
        <w:rPr>
          <w:rFonts w:hint="default" w:ascii="方正小标宋简体" w:hAnsi="方正小标宋简体" w:eastAsia="方正小标宋简体" w:cs="方正小标宋简体"/>
          <w:bCs w:val="0"/>
          <w:kern w:val="2"/>
          <w:sz w:val="44"/>
          <w:szCs w:val="44"/>
          <w:lang w:eastAsia="zh-CN" w:bidi="ar"/>
          <w:woUserID w:val="2"/>
        </w:rPr>
        <w:t>报告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right="0" w:firstLine="640" w:firstLineChars="200"/>
        <w:jc w:val="both"/>
        <w:textAlignment w:val="auto"/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val="en-US" w:eastAsia="zh-CN"/>
          <w:woUserID w:val="2"/>
        </w:rPr>
      </w:pPr>
    </w:p>
    <w:p>
      <w:pPr>
        <w:pStyle w:val="3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afterLines="0"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lang w:eastAsia="zh-CN"/>
          <w:woUserID w:val="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  <w:woUserID w:val="2"/>
        </w:rPr>
        <w:t>一、</w:t>
      </w:r>
      <w:r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lang w:eastAsia="zh-CN"/>
          <w:woUserID w:val="2"/>
        </w:rPr>
        <w:t>预算编制假设</w:t>
      </w:r>
    </w:p>
    <w:p>
      <w:pPr>
        <w:pStyle w:val="3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afterLines="0"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highlight w:val="none"/>
          <w:lang w:eastAsia="zh-CN"/>
          <w:woUserID w:val="2"/>
        </w:rPr>
      </w:pP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eastAsia="zh-CN" w:bidi="ar"/>
          <w:woUserID w:val="2"/>
        </w:rPr>
        <w:t>2024年集团全面预算是基于各产业公司“十四五”中期评估报告以及年度经营计划，并结合“习惯过紧日子”的总体思想，以控成本费用和提升人效的要求编制的。</w:t>
      </w:r>
    </w:p>
    <w:p>
      <w:pPr>
        <w:pStyle w:val="3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afterLines="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  <w:woUserID w:val="2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lang w:eastAsia="zh-CN"/>
          <w:woUserID w:val="2"/>
        </w:rPr>
        <w:t>二、集团预算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  <w:woUserID w:val="2"/>
        </w:rPr>
        <w:t>情况</w:t>
      </w: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1" w:firstLineChars="200"/>
        <w:textAlignment w:val="auto"/>
        <w:rPr>
          <w:rFonts w:hint="default" w:ascii="楷体_GB2312" w:hAnsi="楷体_GB2312" w:eastAsia="楷体_GB2312" w:cs="楷体_GB2312"/>
          <w:highlight w:val="none"/>
          <w:lang w:eastAsia="zh-CN"/>
          <w:woUserID w:val="2"/>
        </w:rPr>
      </w:pPr>
      <w:r>
        <w:rPr>
          <w:rFonts w:hint="eastAsia" w:ascii="楷体_GB2312" w:hAnsi="楷体_GB2312" w:eastAsia="楷体_GB2312" w:cs="楷体_GB2312"/>
          <w:highlight w:val="none"/>
          <w:lang w:val="en-US" w:eastAsia="zh-CN"/>
          <w:woUserID w:val="2"/>
        </w:rPr>
        <w:t>（一）</w:t>
      </w:r>
      <w:r>
        <w:rPr>
          <w:rFonts w:hint="default" w:ascii="楷体_GB2312" w:hAnsi="楷体_GB2312" w:eastAsia="楷体_GB2312" w:cs="楷体_GB2312"/>
          <w:highlight w:val="none"/>
          <w:lang w:eastAsia="zh-CN"/>
          <w:woUserID w:val="2"/>
        </w:rPr>
        <w:t>损益预算</w:t>
      </w: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1" w:firstLineChars="200"/>
        <w:textAlignment w:val="auto"/>
        <w:rPr>
          <w:rFonts w:hint="default" w:ascii="楷体_GB2312" w:hAnsi="楷体_GB2312" w:eastAsia="楷体_GB2312" w:cs="楷体_GB2312"/>
          <w:b/>
          <w:bCs w:val="0"/>
          <w:color w:val="C00000"/>
          <w:highlight w:val="none"/>
          <w:lang w:eastAsia="zh-CN"/>
          <w:woUserID w:val="2"/>
        </w:rPr>
      </w:pPr>
      <w:r>
        <w:rPr>
          <w:rFonts w:hint="default" w:ascii="楷体_GB2312" w:hAnsi="楷体_GB2312" w:eastAsia="楷体_GB2312" w:cs="楷体_GB2312"/>
          <w:highlight w:val="none"/>
          <w:lang w:eastAsia="zh-CN"/>
          <w:woUserID w:val="2"/>
        </w:rPr>
        <w:t>1.</w:t>
      </w:r>
      <w:r>
        <w:rPr>
          <w:rFonts w:hint="eastAsia" w:ascii="楷体_GB2312" w:hAnsi="楷体_GB2312" w:eastAsia="楷体_GB2312" w:cs="楷体_GB2312"/>
          <w:highlight w:val="none"/>
          <w:lang w:val="en-US" w:eastAsia="zh-CN"/>
          <w:woUserID w:val="2"/>
        </w:rPr>
        <w:t>集团年度目标达成情</w:t>
      </w:r>
      <w:r>
        <w:rPr>
          <w:rFonts w:hint="default" w:ascii="楷体_GB2312" w:hAnsi="楷体_GB2312" w:eastAsia="楷体_GB2312" w:cs="楷体_GB2312"/>
          <w:highlight w:val="none"/>
          <w:lang w:eastAsia="zh-CN"/>
          <w:woUserID w:val="2"/>
        </w:rPr>
        <w:t>况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woUserID w:val="2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围绕“专注主业、创新突破、市场开拓、强化管控、数字化转型、团结协作、提质增效”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  <w:woUserID w:val="1"/>
        </w:rPr>
        <w:t>的年度经营方针，团结拼搏、创新实干，奋力实现“营业收入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475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  <w:woUserID w:val="1"/>
        </w:rPr>
        <w:t>亿元；利润总额10亿元”的年度目标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  <w:woUserID w:val="1"/>
        </w:rPr>
        <w:t>集团营收预算475亿元，同比增长8.6%，满足年度营收目标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；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  <w:woUserID w:val="1"/>
        </w:rPr>
        <w:t>利润总额预算9.5亿元，同比增长21.8%，较年度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力争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  <w:woUserID w:val="1"/>
        </w:rPr>
        <w:t>目标存在0.5亿元缺口。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仿宋_GB2312" w:eastAsia="仿宋_GB2312" w:cs="仿宋_GB2312"/>
          <w:b w:val="0"/>
          <w:bCs/>
          <w:kern w:val="2"/>
          <w:sz w:val="28"/>
          <w:szCs w:val="28"/>
          <w:woUserID w:val="2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表1 年度经营</w:t>
      </w:r>
      <w:r>
        <w:rPr>
          <w:rFonts w:hint="default" w:ascii="仿宋_GB2312" w:hAnsi="Calibri" w:eastAsia="仿宋_GB2312" w:cs="仿宋_GB2312"/>
          <w:b/>
          <w:bCs w:val="0"/>
          <w:kern w:val="2"/>
          <w:sz w:val="32"/>
          <w:szCs w:val="32"/>
          <w:lang w:val="en-US" w:eastAsia="zh-CN" w:bidi="ar"/>
          <w:woUserID w:val="2"/>
        </w:rPr>
        <w:t>目标达成情况</w:t>
      </w:r>
      <w:r>
        <w:rPr>
          <w:rFonts w:hint="default" w:ascii="仿宋_GB2312" w:hAnsi="Calibri" w:eastAsia="仿宋_GB2312" w:cs="仿宋_GB2312"/>
          <w:b w:val="0"/>
          <w:bCs/>
          <w:kern w:val="2"/>
          <w:sz w:val="28"/>
          <w:szCs w:val="28"/>
          <w:lang w:val="en-US" w:eastAsia="zh-CN" w:bidi="ar"/>
          <w:woUserID w:val="2"/>
        </w:rPr>
        <w:t>（单位：亿元）</w:t>
      </w:r>
    </w:p>
    <w:tbl>
      <w:tblPr>
        <w:tblStyle w:val="13"/>
        <w:tblW w:w="89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7"/>
        <w:gridCol w:w="1500"/>
        <w:gridCol w:w="1361"/>
        <w:gridCol w:w="1644"/>
        <w:gridCol w:w="17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7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/>
              <w:keepLines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woUserID w:val="2"/>
              </w:rPr>
            </w:pPr>
            <w:r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lang w:val="en-US" w:eastAsia="zh-CN" w:bidi="ar"/>
                <w:woUserID w:val="2"/>
              </w:rPr>
              <w:t>预算指标</w:t>
            </w:r>
          </w:p>
        </w:tc>
        <w:tc>
          <w:tcPr>
            <w:tcW w:w="150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/>
              <w:keepLines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woUserID w:val="2"/>
              </w:rPr>
            </w:pPr>
            <w:r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lang w:val="en-US" w:eastAsia="zh-CN" w:bidi="ar"/>
                <w:woUserID w:val="2"/>
              </w:rPr>
              <w:t>2024年度</w:t>
            </w:r>
          </w:p>
          <w:p>
            <w:pPr>
              <w:pStyle w:val="11"/>
              <w:keepNext/>
              <w:keepLines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woUserID w:val="2"/>
              </w:rPr>
            </w:pPr>
            <w:r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lang w:val="en-US" w:eastAsia="zh-CN" w:bidi="ar"/>
                <w:woUserID w:val="2"/>
              </w:rPr>
              <w:t>目标</w:t>
            </w:r>
          </w:p>
        </w:tc>
        <w:tc>
          <w:tcPr>
            <w:tcW w:w="47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/>
              <w:keepLines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woUserID w:val="2"/>
              </w:rPr>
            </w:pPr>
            <w:r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lang w:val="en-US" w:eastAsia="zh-CN" w:bidi="ar"/>
                <w:woUserID w:val="2"/>
              </w:rPr>
              <w:t>2024年预算数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  <w:woUserID w:val="2"/>
              </w:rPr>
            </w:pPr>
          </w:p>
        </w:tc>
        <w:tc>
          <w:tcPr>
            <w:tcW w:w="150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  <w:woUserID w:val="2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/>
              <w:keepLines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woUserID w:val="2"/>
              </w:rPr>
            </w:pPr>
            <w:r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lang w:val="en-US" w:eastAsia="zh-CN" w:bidi="ar"/>
                <w:woUserID w:val="2"/>
              </w:rPr>
              <w:t>预算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lang w:val="en-US" w:eastAsia="zh-CN" w:bidi="ar"/>
                <w:woUserID w:val="2"/>
              </w:rPr>
              <w:t>数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/>
              <w:keepLines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woUserID w:val="2"/>
              </w:rPr>
            </w:pPr>
            <w:r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lang w:val="en-US" w:eastAsia="zh-CN" w:bidi="ar"/>
                <w:woUserID w:val="2"/>
              </w:rPr>
              <w:t>同比</w:t>
            </w: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/>
              <w:keepLines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woUserID w:val="2"/>
              </w:rPr>
            </w:pPr>
            <w:r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lang w:val="en-US" w:eastAsia="zh-CN" w:bidi="ar"/>
                <w:woUserID w:val="2"/>
              </w:rPr>
              <w:t>目标达成率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2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/>
              <w:keepLines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woUserID w:val="2"/>
              </w:rPr>
            </w:pPr>
            <w:r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lang w:val="en-US" w:eastAsia="zh-CN" w:bidi="ar"/>
                <w:woUserID w:val="2"/>
              </w:rPr>
              <w:t>营业收入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/>
              <w:keepLines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woUserID w:val="2"/>
              </w:rPr>
            </w:pPr>
            <w:r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lang w:val="en-US" w:eastAsia="zh-CN" w:bidi="ar"/>
                <w:woUserID w:val="2"/>
              </w:rPr>
              <w:t>475</w:t>
            </w: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/>
              <w:keepLines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lang w:eastAsia="zh-CN" w:bidi="ar"/>
                <w:woUserID w:val="2"/>
              </w:rPr>
              <w:t>475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/>
              <w:keepLines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woUserID w:val="2"/>
              </w:rPr>
            </w:pPr>
            <w:r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lang w:eastAsia="zh-CN" w:bidi="ar"/>
                <w:woUserID w:val="2"/>
              </w:rPr>
              <w:t>8.6</w:t>
            </w:r>
            <w:r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lang w:val="en-US" w:eastAsia="zh-CN" w:bidi="ar"/>
                <w:woUserID w:val="2"/>
              </w:rPr>
              <w:t>%</w:t>
            </w: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/>
              <w:keepLines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woUserID w:val="2"/>
              </w:rPr>
            </w:pPr>
            <w:r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lang w:val="en-US" w:eastAsia="zh-CN" w:bidi="ar"/>
                <w:woUserID w:val="2"/>
              </w:rPr>
              <w:t>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428" w:hRule="atLeast"/>
          <w:jc w:val="center"/>
        </w:trPr>
        <w:tc>
          <w:tcPr>
            <w:tcW w:w="2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/>
              <w:keepLines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woUserID w:val="2"/>
              </w:rPr>
            </w:pPr>
            <w:r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lang w:val="en-US" w:eastAsia="zh-CN" w:bidi="ar"/>
                <w:woUserID w:val="2"/>
              </w:rPr>
              <w:t>利润总额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/>
              <w:keepLines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woUserID w:val="2"/>
              </w:rPr>
            </w:pPr>
            <w:r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lang w:val="en-US" w:eastAsia="zh-CN" w:bidi="ar"/>
                <w:woUserID w:val="2"/>
              </w:rPr>
              <w:t>10</w:t>
            </w: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/>
              <w:keepLines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woUserID w:val="2"/>
              </w:rPr>
            </w:pPr>
            <w:r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woUserID w:val="2"/>
              </w:rPr>
              <w:t>9.5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/>
              <w:keepLines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woUserID w:val="2"/>
              </w:rPr>
            </w:pPr>
            <w:r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woUserID w:val="2"/>
              </w:rPr>
              <w:t>21.8%</w:t>
            </w: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/>
              <w:keepLines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woUserID w:val="2"/>
              </w:rPr>
            </w:pPr>
            <w:r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lang w:eastAsia="zh-CN" w:bidi="ar"/>
                <w:woUserID w:val="2"/>
              </w:rPr>
              <w:t>95</w:t>
            </w:r>
            <w:r>
              <w:rPr>
                <w:rFonts w:hint="default" w:ascii="仿宋_GB2312" w:hAnsi="Times New Roman" w:eastAsia="仿宋_GB2312" w:cs="仿宋_GB2312"/>
                <w:b/>
                <w:bCs w:val="0"/>
                <w:kern w:val="44"/>
                <w:sz w:val="24"/>
                <w:szCs w:val="24"/>
                <w:lang w:val="en-US" w:eastAsia="zh-CN" w:bidi="ar"/>
                <w:woUserID w:val="2"/>
              </w:rPr>
              <w:t>%</w:t>
            </w:r>
          </w:p>
        </w:tc>
      </w:tr>
    </w:tbl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default" w:ascii="仿宋_GB2312" w:hAnsi="Calibri" w:eastAsia="仿宋_GB2312" w:cs="仿宋_GB2312"/>
          <w:b w:val="0"/>
          <w:bCs w:val="0"/>
          <w:kern w:val="2"/>
          <w:sz w:val="24"/>
          <w:szCs w:val="24"/>
          <w:woUserID w:val="2"/>
        </w:rPr>
      </w:pPr>
      <w:r>
        <w:rPr>
          <w:rFonts w:hint="default" w:ascii="仿宋_GB2312" w:hAnsi="Calibri" w:eastAsia="仿宋_GB2312" w:cs="仿宋_GB2312"/>
          <w:b w:val="0"/>
          <w:bCs w:val="0"/>
          <w:kern w:val="2"/>
          <w:sz w:val="24"/>
          <w:szCs w:val="24"/>
          <w:lang w:val="en-US" w:eastAsia="zh-CN" w:bidi="ar"/>
          <w:woUserID w:val="2"/>
        </w:rPr>
        <w:t>注：东强4月并表，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24"/>
          <w:szCs w:val="24"/>
          <w:lang w:eastAsia="zh-CN" w:bidi="ar"/>
          <w:woUserID w:val="2"/>
        </w:rPr>
        <w:t>全年东强营收14亿、利润6500万元，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24"/>
          <w:szCs w:val="24"/>
          <w:highlight w:val="none"/>
          <w:lang w:eastAsia="zh-CN" w:bidi="ar"/>
          <w:woUserID w:val="2"/>
        </w:rPr>
        <w:t>九洲并表营收12亿、利润4700万。集团利润包含并购东强产生的并购收益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24"/>
          <w:szCs w:val="24"/>
          <w:lang w:eastAsia="zh-CN" w:bidi="ar"/>
          <w:woUserID w:val="2"/>
        </w:rPr>
        <w:t>5000万，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24"/>
          <w:szCs w:val="24"/>
          <w:lang w:val="en-US" w:eastAsia="zh-CN" w:bidi="ar"/>
          <w:woUserID w:val="2"/>
        </w:rPr>
        <w:t>九洲创投减持华丰股权对利润贡献4500万。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Calibri" w:hAnsi="Calibri" w:eastAsia="宋体" w:cs="Times New Roman"/>
          <w:kern w:val="2"/>
          <w:sz w:val="21"/>
          <w:szCs w:val="21"/>
          <w:woUserID w:val="2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表2 收入构成</w:t>
      </w:r>
      <w:r>
        <w:rPr>
          <w:rFonts w:hint="default" w:ascii="仿宋_GB2312" w:hAnsi="Calibri" w:eastAsia="仿宋_GB2312" w:cs="仿宋_GB2312"/>
          <w:b/>
          <w:bCs w:val="0"/>
          <w:kern w:val="2"/>
          <w:sz w:val="32"/>
          <w:szCs w:val="32"/>
          <w:lang w:val="en-US" w:eastAsia="zh-CN" w:bidi="ar"/>
          <w:woUserID w:val="2"/>
        </w:rPr>
        <w:t>情况</w:t>
      </w:r>
      <w:r>
        <w:rPr>
          <w:rFonts w:hint="default" w:ascii="仿宋_GB2312" w:hAnsi="Calibri" w:eastAsia="仿宋_GB2312" w:cs="仿宋_GB2312"/>
          <w:b w:val="0"/>
          <w:bCs/>
          <w:kern w:val="2"/>
          <w:sz w:val="28"/>
          <w:szCs w:val="28"/>
          <w:lang w:eastAsia="zh-CN" w:bidi="ar"/>
          <w:woUserID w:val="2"/>
        </w:rPr>
        <w:t>（单位：亿元）</w:t>
      </w:r>
    </w:p>
    <w:tbl>
      <w:tblPr>
        <w:tblStyle w:val="13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5"/>
        <w:gridCol w:w="1431"/>
        <w:gridCol w:w="1346"/>
        <w:gridCol w:w="38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1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Calibri" w:eastAsia="仿宋_GB2312" w:cs="仿宋_GB2312"/>
                <w:b/>
                <w:bCs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21"/>
                <w:szCs w:val="21"/>
                <w:lang w:eastAsia="zh-CN" w:bidi="ar"/>
                <w:woUserID w:val="2"/>
              </w:rPr>
              <w:t>收入</w:t>
            </w: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21"/>
                <w:szCs w:val="21"/>
                <w:lang w:val="en-US" w:eastAsia="zh-CN" w:bidi="ar"/>
                <w:woUserID w:val="2"/>
              </w:rPr>
              <w:t>构成项目</w:t>
            </w:r>
          </w:p>
        </w:tc>
        <w:tc>
          <w:tcPr>
            <w:tcW w:w="7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  <w:t>2024年预算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  <w:t>同比(%)</w:t>
            </w:r>
          </w:p>
        </w:tc>
        <w:tc>
          <w:tcPr>
            <w:tcW w:w="21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highlight w:val="none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highlight w:val="none"/>
                <w:lang w:eastAsia="zh-CN" w:bidi="ar"/>
                <w:woUserID w:val="2"/>
              </w:rPr>
              <w:t>集团合计</w:t>
            </w:r>
          </w:p>
        </w:tc>
        <w:tc>
          <w:tcPr>
            <w:tcW w:w="7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  <w:t>475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  <w:t>8.6%</w:t>
            </w:r>
          </w:p>
        </w:tc>
        <w:tc>
          <w:tcPr>
            <w:tcW w:w="21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  <w:woUserID w:val="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highlight w:val="none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highlight w:val="none"/>
                <w:lang w:eastAsia="zh-CN" w:bidi="ar"/>
                <w:woUserID w:val="2"/>
              </w:rPr>
              <w:t>其中：</w:t>
            </w: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highlight w:val="none"/>
                <w:lang w:val="en-US" w:eastAsia="zh-CN" w:bidi="ar"/>
                <w:woUserID w:val="2"/>
              </w:rPr>
              <w:t>中油北斗</w:t>
            </w: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highlight w:val="none"/>
                <w:lang w:eastAsia="zh-CN" w:bidi="ar"/>
                <w:woUserID w:val="2"/>
              </w:rPr>
              <w:t>、聚力</w:t>
            </w:r>
          </w:p>
        </w:tc>
        <w:tc>
          <w:tcPr>
            <w:tcW w:w="7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highlight w:val="none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  <w:t>130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  <w:t>-5.7%</w:t>
            </w:r>
          </w:p>
        </w:tc>
        <w:tc>
          <w:tcPr>
            <w:tcW w:w="21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eastAsia="zh-CN" w:bidi="ar"/>
                <w:woUserID w:val="2"/>
              </w:rPr>
              <w:t>贸易业务</w:t>
            </w:r>
          </w:p>
        </w:tc>
        <w:tc>
          <w:tcPr>
            <w:tcW w:w="7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  <w:t>33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  <w:t>-33%</w:t>
            </w:r>
          </w:p>
        </w:tc>
        <w:tc>
          <w:tcPr>
            <w:tcW w:w="21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九洲电器、九强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eastAsia="zh-CN" w:bidi="ar"/>
                <w:woUserID w:val="2"/>
              </w:rPr>
              <w:t>、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线缆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eastAsia="zh-CN" w:bidi="ar"/>
                <w:woUserID w:val="2"/>
              </w:rPr>
              <w:t>合计压降20亿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eastAsia="zh-CN" w:bidi="ar"/>
                <w:woUserID w:val="2"/>
              </w:rPr>
              <w:t xml:space="preserve">    </w:t>
            </w: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  <w:woUserID w:val="2"/>
              </w:rPr>
              <w:t>其他产业公司</w:t>
            </w:r>
          </w:p>
        </w:tc>
        <w:tc>
          <w:tcPr>
            <w:tcW w:w="7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  <w:t>349.5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  <w:t>42.1%</w:t>
            </w:r>
          </w:p>
        </w:tc>
        <w:tc>
          <w:tcPr>
            <w:tcW w:w="21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  <w:woUserID w:val="2"/>
              </w:rPr>
              <w:t>关联交易</w:t>
            </w:r>
          </w:p>
        </w:tc>
        <w:tc>
          <w:tcPr>
            <w:tcW w:w="7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eastAsia="zh-CN" w:bidi="ar"/>
                <w:woUserID w:val="2"/>
              </w:rPr>
              <w:t>-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3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eastAsia="zh-CN" w:bidi="ar"/>
                <w:woUserID w:val="2"/>
              </w:rPr>
              <w:t>7.5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eastAsia="zh-CN" w:bidi="ar"/>
                <w:woUserID w:val="2"/>
              </w:rPr>
              <w:t>-</w:t>
            </w:r>
          </w:p>
        </w:tc>
        <w:tc>
          <w:tcPr>
            <w:tcW w:w="21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Calibri" w:hAnsi="Calibri" w:eastAsia="宋体" w:cs="Times New Roman"/>
          <w:kern w:val="2"/>
          <w:sz w:val="21"/>
          <w:szCs w:val="21"/>
          <w:woUserID w:val="2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表3 利润总额构成</w:t>
      </w:r>
      <w:r>
        <w:rPr>
          <w:rFonts w:hint="default" w:ascii="仿宋_GB2312" w:hAnsi="Calibri" w:eastAsia="仿宋_GB2312" w:cs="仿宋_GB2312"/>
          <w:b/>
          <w:bCs w:val="0"/>
          <w:kern w:val="2"/>
          <w:sz w:val="32"/>
          <w:szCs w:val="32"/>
          <w:lang w:val="en-US" w:eastAsia="zh-CN" w:bidi="ar"/>
          <w:woUserID w:val="2"/>
        </w:rPr>
        <w:t>情况</w:t>
      </w:r>
      <w:r>
        <w:rPr>
          <w:rFonts w:hint="default" w:ascii="仿宋_GB2312" w:hAnsi="Calibri" w:eastAsia="仿宋_GB2312" w:cs="仿宋_GB2312"/>
          <w:b w:val="0"/>
          <w:bCs/>
          <w:kern w:val="2"/>
          <w:sz w:val="24"/>
          <w:szCs w:val="24"/>
          <w:lang w:val="en-US" w:eastAsia="zh-CN" w:bidi="ar"/>
          <w:woUserID w:val="2"/>
        </w:rPr>
        <w:t>（单位：亿元）</w:t>
      </w:r>
    </w:p>
    <w:tbl>
      <w:tblPr>
        <w:tblStyle w:val="13"/>
        <w:tblW w:w="502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0"/>
        <w:gridCol w:w="1830"/>
        <w:gridCol w:w="1245"/>
        <w:gridCol w:w="42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项目名称</w:t>
            </w:r>
          </w:p>
        </w:tc>
        <w:tc>
          <w:tcPr>
            <w:tcW w:w="10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2024年预算</w:t>
            </w:r>
          </w:p>
        </w:tc>
        <w:tc>
          <w:tcPr>
            <w:tcW w:w="6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同比</w:t>
            </w: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eastAsia="zh-CN" w:bidi="ar"/>
                <w:woUserID w:val="2"/>
              </w:rPr>
              <w:t>(%)</w:t>
            </w:r>
          </w:p>
        </w:tc>
        <w:tc>
          <w:tcPr>
            <w:tcW w:w="23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  <w:woUserID w:val="2"/>
              </w:rPr>
              <w:t>集团合计</w:t>
            </w:r>
          </w:p>
        </w:tc>
        <w:tc>
          <w:tcPr>
            <w:tcW w:w="10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9.5</w:t>
            </w:r>
          </w:p>
        </w:tc>
        <w:tc>
          <w:tcPr>
            <w:tcW w:w="6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  <w:t>21.8%</w:t>
            </w:r>
          </w:p>
        </w:tc>
        <w:tc>
          <w:tcPr>
            <w:tcW w:w="23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  <w:woUserID w:val="2"/>
              </w:rPr>
              <w:t>产业公司利润</w:t>
            </w:r>
          </w:p>
        </w:tc>
        <w:tc>
          <w:tcPr>
            <w:tcW w:w="10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13.81</w:t>
            </w:r>
          </w:p>
        </w:tc>
        <w:tc>
          <w:tcPr>
            <w:tcW w:w="6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  <w:t>4.6%</w:t>
            </w:r>
          </w:p>
        </w:tc>
        <w:tc>
          <w:tcPr>
            <w:tcW w:w="23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依顿4.3亿、九洲电器2.5亿、湖山电器0.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eastAsia="zh-CN" w:bidi="ar"/>
                <w:woUserID w:val="2"/>
              </w:rPr>
              <w:t>9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亿、九洲千城0.7亿、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  <w:woUserID w:val="2"/>
              </w:rPr>
              <w:t>四川科瑞0.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lang w:eastAsia="zh-CN" w:bidi="ar"/>
                <w:woUserID w:val="2"/>
              </w:rPr>
              <w:t>6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  <w:woUserID w:val="2"/>
              </w:rPr>
              <w:t>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  <w:woUserID w:val="2"/>
              </w:rPr>
              <w:t>总部利润</w:t>
            </w:r>
          </w:p>
        </w:tc>
        <w:tc>
          <w:tcPr>
            <w:tcW w:w="10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-4.18</w:t>
            </w:r>
          </w:p>
        </w:tc>
        <w:tc>
          <w:tcPr>
            <w:tcW w:w="6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  <w:t>-34.8%</w:t>
            </w:r>
          </w:p>
        </w:tc>
        <w:tc>
          <w:tcPr>
            <w:tcW w:w="23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含创智研究院研发投入增加0.5亿，</w:t>
            </w: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  <w:woUserID w:val="2"/>
              </w:rPr>
              <w:t>不含分红3.68亿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  <w:woUserID w:val="2"/>
              </w:rPr>
              <w:t>股权投资收益、并购收益</w:t>
            </w:r>
          </w:p>
        </w:tc>
        <w:tc>
          <w:tcPr>
            <w:tcW w:w="10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  <w:t>0.37</w:t>
            </w:r>
          </w:p>
        </w:tc>
        <w:tc>
          <w:tcPr>
            <w:tcW w:w="6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  <w:t>63.8%</w:t>
            </w:r>
          </w:p>
        </w:tc>
        <w:tc>
          <w:tcPr>
            <w:tcW w:w="23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创投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eastAsia="zh-CN" w:bidi="ar"/>
                <w:woUserID w:val="2"/>
              </w:rPr>
              <w:t>减持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华丰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eastAsia="zh-CN" w:bidi="ar"/>
                <w:woUserID w:val="2"/>
              </w:rPr>
              <w:t>50%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股权收益净额0.45亿；并购东强产生并购收益0.5亿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eastAsia="zh-CN" w:bidi="ar"/>
                <w:woUserID w:val="2"/>
              </w:rPr>
              <w:t>,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长九光电商誉减值0.58亿元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  <w:woUserID w:val="2"/>
              </w:rPr>
              <w:t>关联交易抵减</w:t>
            </w:r>
          </w:p>
        </w:tc>
        <w:tc>
          <w:tcPr>
            <w:tcW w:w="10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-0.5</w:t>
            </w:r>
          </w:p>
        </w:tc>
        <w:tc>
          <w:tcPr>
            <w:tcW w:w="6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  <w:t>16.3%</w:t>
            </w:r>
          </w:p>
        </w:tc>
        <w:tc>
          <w:tcPr>
            <w:tcW w:w="23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九洲电器0.3亿元、其他0.2亿元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仿宋_GB2312" w:hAnsi="Calibri" w:eastAsia="仿宋_GB2312" w:cs="仿宋_GB2312"/>
          <w:b w:val="0"/>
          <w:bCs w:val="0"/>
          <w:kern w:val="2"/>
          <w:sz w:val="28"/>
          <w:szCs w:val="28"/>
          <w:lang w:eastAsia="zh-CN" w:bidi="ar"/>
          <w:woUserID w:val="2"/>
        </w:rPr>
      </w:pPr>
      <w:r>
        <w:rPr>
          <w:rFonts w:hint="default" w:ascii="楷体_GB2312" w:hAnsi="楷体_GB2312" w:eastAsia="楷体_GB2312" w:cs="楷体_GB2312"/>
          <w:b w:val="0"/>
          <w:bCs w:val="0"/>
          <w:kern w:val="2"/>
          <w:sz w:val="32"/>
          <w:szCs w:val="32"/>
          <w:woUserID w:val="2"/>
        </w:rPr>
        <w:t xml:space="preserve">  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表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>3-1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 xml:space="preserve"> 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>总部损益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构成</w:t>
      </w:r>
      <w:r>
        <w:rPr>
          <w:rFonts w:hint="default" w:ascii="仿宋_GB2312" w:hAnsi="Calibri" w:eastAsia="仿宋_GB2312" w:cs="仿宋_GB2312"/>
          <w:b/>
          <w:bCs w:val="0"/>
          <w:kern w:val="2"/>
          <w:sz w:val="32"/>
          <w:szCs w:val="32"/>
          <w:lang w:val="en-US" w:eastAsia="zh-CN" w:bidi="ar"/>
          <w:woUserID w:val="2"/>
        </w:rPr>
        <w:t>情</w:t>
      </w:r>
      <w:r>
        <w:rPr>
          <w:rFonts w:hint="default" w:ascii="仿宋_GB2312" w:hAnsi="Calibri" w:eastAsia="仿宋_GB2312" w:cs="仿宋_GB2312"/>
          <w:b/>
          <w:bCs w:val="0"/>
          <w:kern w:val="2"/>
          <w:sz w:val="32"/>
          <w:szCs w:val="32"/>
          <w:lang w:eastAsia="zh-CN" w:bidi="ar"/>
          <w:woUserID w:val="2"/>
        </w:rPr>
        <w:t>况</w:t>
      </w:r>
      <w:r>
        <w:rPr>
          <w:rFonts w:hint="default" w:ascii="仿宋_GB2312" w:hAnsi="Calibri" w:eastAsia="仿宋_GB2312" w:cs="仿宋_GB2312"/>
          <w:b w:val="0"/>
          <w:bCs/>
          <w:kern w:val="2"/>
          <w:sz w:val="24"/>
          <w:szCs w:val="24"/>
          <w:lang w:val="en-US" w:eastAsia="zh-CN" w:bidi="ar"/>
          <w:woUserID w:val="2"/>
        </w:rPr>
        <w:t>（单位：亿元）</w:t>
      </w:r>
    </w:p>
    <w:tbl>
      <w:tblPr>
        <w:tblStyle w:val="13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4"/>
        <w:gridCol w:w="1863"/>
        <w:gridCol w:w="1250"/>
        <w:gridCol w:w="41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项目名称</w:t>
            </w:r>
          </w:p>
        </w:tc>
        <w:tc>
          <w:tcPr>
            <w:tcW w:w="10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2024年预算</w:t>
            </w:r>
          </w:p>
        </w:tc>
        <w:tc>
          <w:tcPr>
            <w:tcW w:w="6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同比</w:t>
            </w: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eastAsia="zh-CN" w:bidi="ar"/>
                <w:woUserID w:val="2"/>
              </w:rPr>
              <w:t>(%)</w:t>
            </w:r>
          </w:p>
        </w:tc>
        <w:tc>
          <w:tcPr>
            <w:tcW w:w="2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  <w:woUserID w:val="2"/>
              </w:rPr>
              <w:t>总部利润</w:t>
            </w:r>
          </w:p>
        </w:tc>
        <w:tc>
          <w:tcPr>
            <w:tcW w:w="10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-0.5</w:t>
            </w:r>
          </w:p>
        </w:tc>
        <w:tc>
          <w:tcPr>
            <w:tcW w:w="6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  <w:t>-100%</w:t>
            </w:r>
          </w:p>
        </w:tc>
        <w:tc>
          <w:tcPr>
            <w:tcW w:w="2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含创智研究院研发投入增加0.5亿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  <w:woUserID w:val="2"/>
              </w:rPr>
              <w:t>其中：不含下属公司分红</w:t>
            </w:r>
          </w:p>
        </w:tc>
        <w:tc>
          <w:tcPr>
            <w:tcW w:w="10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-4.18</w:t>
            </w:r>
          </w:p>
        </w:tc>
        <w:tc>
          <w:tcPr>
            <w:tcW w:w="6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  <w:t>-34.8%</w:t>
            </w:r>
          </w:p>
        </w:tc>
        <w:tc>
          <w:tcPr>
            <w:tcW w:w="2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eastAsia="zh-CN" w:bidi="ar"/>
                <w:woUserID w:val="2"/>
              </w:rPr>
              <w:t>2024年下属公司分红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3.68亿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  <w:woUserID w:val="2"/>
              </w:rPr>
              <w:t>营业收入</w:t>
            </w:r>
          </w:p>
        </w:tc>
        <w:tc>
          <w:tcPr>
            <w:tcW w:w="10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4.04</w:t>
            </w:r>
          </w:p>
        </w:tc>
        <w:tc>
          <w:tcPr>
            <w:tcW w:w="6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  <w:t>6.8%</w:t>
            </w:r>
          </w:p>
        </w:tc>
        <w:tc>
          <w:tcPr>
            <w:tcW w:w="2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textAlignment w:val="center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  <w:woUserID w:val="2"/>
              </w:rPr>
              <w:t>资金运营3.08亿、房产0.42亿、能源运营0.5亿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  <w:woUserID w:val="2"/>
              </w:rPr>
              <w:t>营业成本</w:t>
            </w:r>
          </w:p>
        </w:tc>
        <w:tc>
          <w:tcPr>
            <w:tcW w:w="10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0.66</w:t>
            </w:r>
          </w:p>
        </w:tc>
        <w:tc>
          <w:tcPr>
            <w:tcW w:w="6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  <w:t>19.8%</w:t>
            </w:r>
          </w:p>
        </w:tc>
        <w:tc>
          <w:tcPr>
            <w:tcW w:w="2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房产运营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eastAsia="zh-CN" w:bidi="ar"/>
                <w:woUserID w:val="2"/>
              </w:rPr>
              <w:t>0.25亿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、能源运营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eastAsia="zh-CN" w:bidi="ar"/>
                <w:woUserID w:val="2"/>
              </w:rPr>
              <w:t>0.37亿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  <w:woUserID w:val="2"/>
              </w:rPr>
              <w:t>销售费用</w:t>
            </w:r>
          </w:p>
        </w:tc>
        <w:tc>
          <w:tcPr>
            <w:tcW w:w="10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0.03</w:t>
            </w:r>
          </w:p>
        </w:tc>
        <w:tc>
          <w:tcPr>
            <w:tcW w:w="6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  <w:t>-28.5%</w:t>
            </w:r>
          </w:p>
        </w:tc>
        <w:tc>
          <w:tcPr>
            <w:tcW w:w="2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主要是展览费和品牌费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  <w:woUserID w:val="2"/>
              </w:rPr>
              <w:t>管理费用</w:t>
            </w:r>
          </w:p>
        </w:tc>
        <w:tc>
          <w:tcPr>
            <w:tcW w:w="10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3.24</w:t>
            </w:r>
          </w:p>
        </w:tc>
        <w:tc>
          <w:tcPr>
            <w:tcW w:w="6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  <w:t>15.7%</w:t>
            </w:r>
          </w:p>
        </w:tc>
        <w:tc>
          <w:tcPr>
            <w:tcW w:w="2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较去年同比增加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eastAsia="zh-CN" w:bidi="ar"/>
                <w:woUserID w:val="2"/>
              </w:rPr>
              <w:t>0.44亿，主要是中介机构费（+994万）、人才引进费（+700万）、折旧摊销（+900万）、系统运行管理费以及设备维修（+840万）、宣传费（+500万）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  <w:woUserID w:val="2"/>
              </w:rPr>
              <w:t>财务费用</w:t>
            </w:r>
          </w:p>
        </w:tc>
        <w:tc>
          <w:tcPr>
            <w:tcW w:w="10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  <w:woUserID w:val="2"/>
              </w:rPr>
              <w:t>3.73</w:t>
            </w:r>
          </w:p>
        </w:tc>
        <w:tc>
          <w:tcPr>
            <w:tcW w:w="6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  <w:t>-3.5%</w:t>
            </w:r>
          </w:p>
        </w:tc>
        <w:tc>
          <w:tcPr>
            <w:tcW w:w="2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  <w:woUserID w:val="2"/>
              </w:rPr>
              <w:t>较去年同比减少</w:t>
            </w: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eastAsia="zh-CN" w:bidi="ar"/>
                <w:woUserID w:val="2"/>
              </w:rPr>
              <w:t>0.13亿，</w:t>
            </w: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  <w:woUserID w:val="2"/>
              </w:rPr>
              <w:t>因利率降低，存量融资减少财务费用</w:t>
            </w: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eastAsia="zh-CN" w:bidi="ar"/>
                <w:woUserID w:val="2"/>
              </w:rPr>
              <w:t>0.58亿</w:t>
            </w: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  <w:woUserID w:val="2"/>
              </w:rPr>
              <w:t>；2024年新增融资19.5亿及置换类永续，对应新增财务费用</w:t>
            </w: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eastAsia="zh-CN" w:bidi="ar"/>
                <w:woUserID w:val="2"/>
              </w:rPr>
              <w:t>0.44亿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  <w:woUserID w:val="2"/>
              </w:rPr>
              <w:t>研发费用</w:t>
            </w:r>
          </w:p>
        </w:tc>
        <w:tc>
          <w:tcPr>
            <w:tcW w:w="10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  <w:woUserID w:val="2"/>
              </w:rPr>
              <w:t>0.5</w:t>
            </w:r>
          </w:p>
        </w:tc>
        <w:tc>
          <w:tcPr>
            <w:tcW w:w="6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</w:p>
        </w:tc>
        <w:tc>
          <w:tcPr>
            <w:tcW w:w="2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  <w:woUserID w:val="2"/>
              </w:rPr>
              <w:t>创智研究院</w:t>
            </w: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eastAsia="zh-CN" w:bidi="ar"/>
                <w:woUserID w:val="2"/>
              </w:rPr>
              <w:t>0.5亿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  <w:woUserID w:val="2"/>
              </w:rPr>
              <w:t>其他</w:t>
            </w:r>
          </w:p>
        </w:tc>
        <w:tc>
          <w:tcPr>
            <w:tcW w:w="10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woUserID w:val="2"/>
              </w:rPr>
              <w:t>0.06</w:t>
            </w:r>
          </w:p>
        </w:tc>
        <w:tc>
          <w:tcPr>
            <w:tcW w:w="6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</w:p>
        </w:tc>
        <w:tc>
          <w:tcPr>
            <w:tcW w:w="2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woUserID w:val="2"/>
              </w:rPr>
            </w:pPr>
          </w:p>
        </w:tc>
      </w:tr>
    </w:tbl>
    <w:p>
      <w:pPr>
        <w:pStyle w:val="4"/>
        <w:keepNext/>
        <w:keepLines/>
        <w:widowControl w:val="0"/>
        <w:numPr>
          <w:ilvl w:val="0"/>
          <w:numId w:val="0"/>
        </w:numPr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leftChars="0" w:firstLine="0" w:firstLineChars="0"/>
        <w:rPr>
          <w:rFonts w:hint="default" w:ascii="楷体_GB2312" w:eastAsia="楷体_GB2312" w:cs="楷体_GB2312"/>
          <w:b/>
          <w:bCs w:val="0"/>
          <w:kern w:val="2"/>
          <w:sz w:val="32"/>
          <w:szCs w:val="32"/>
          <w:woUserID w:val="2"/>
        </w:rPr>
      </w:pPr>
      <w:r>
        <w:rPr>
          <w:rFonts w:hint="default" w:ascii="楷体_GB2312" w:eastAsia="楷体_GB2312" w:cs="楷体_GB2312"/>
          <w:b/>
          <w:bCs w:val="0"/>
          <w:kern w:val="2"/>
          <w:sz w:val="32"/>
          <w:szCs w:val="32"/>
          <w:woUserID w:val="2"/>
        </w:rPr>
        <w:t xml:space="preserve">    </w:t>
      </w:r>
      <w:r>
        <w:rPr>
          <w:rFonts w:hint="default" w:ascii="楷体_GB2312" w:eastAsia="楷体_GB2312" w:cs="楷体_GB2312"/>
          <w:b/>
          <w:bCs w:val="0"/>
          <w:kern w:val="2"/>
          <w:sz w:val="32"/>
          <w:szCs w:val="32"/>
          <w:woUserID w:val="1"/>
        </w:rPr>
        <w:t>2</w:t>
      </w:r>
      <w:r>
        <w:rPr>
          <w:rFonts w:hint="default" w:ascii="楷体_GB2312" w:eastAsia="楷体_GB2312" w:cs="楷体_GB2312"/>
          <w:b/>
          <w:bCs w:val="0"/>
          <w:kern w:val="2"/>
          <w:sz w:val="32"/>
          <w:szCs w:val="32"/>
          <w:woUserID w:val="2"/>
        </w:rPr>
        <w:t>.降成本提效益专项指标预算情况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left"/>
        <w:rPr>
          <w:rFonts w:hint="default" w:ascii="仿宋_GB2312" w:hAnsi="Calibri" w:eastAsia="仿宋_GB2312" w:cs="仿宋_GB2312"/>
          <w:kern w:val="2"/>
          <w:sz w:val="32"/>
          <w:szCs w:val="32"/>
          <w:highlight w:val="yellow"/>
          <w:lang w:eastAsia="zh-CN" w:bidi="ar"/>
          <w:woUserID w:val="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2024年集团合并后毛利率10.7%，较2023年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>提升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0.65个百分点；成本费用率（核心主业</w:t>
      </w:r>
      <w:r>
        <w:rPr>
          <w:rStyle w:val="16"/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footnoteReference w:id="0"/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）97.7%，较2023年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>增加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1.1个百分点，三项费用占营收比（核心主业）8.5%，较2023年减少1.5个百分点；人工成本利润率25.0%，较2023年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>提升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1个百分点。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1" w:firstLineChars="200"/>
        <w:jc w:val="center"/>
        <w:rPr>
          <w:rFonts w:hint="default" w:ascii="仿宋_GB2312" w:hAnsi="宋体" w:eastAsia="仿宋_GB2312" w:cs="仿宋_GB2312"/>
          <w:b/>
          <w:bCs/>
          <w:color w:val="FF0000"/>
          <w:kern w:val="2"/>
          <w:sz w:val="32"/>
          <w:szCs w:val="32"/>
          <w:woUserID w:val="2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表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1"/>
        </w:rPr>
        <w:t>4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 xml:space="preserve"> </w:t>
      </w:r>
      <w:r>
        <w:rPr>
          <w:rFonts w:hint="default" w:ascii="楷体_GB2312" w:eastAsia="楷体_GB2312" w:cs="楷体_GB2312"/>
          <w:b/>
          <w:bCs w:val="0"/>
          <w:kern w:val="2"/>
          <w:sz w:val="32"/>
          <w:szCs w:val="32"/>
          <w:woUserID w:val="2"/>
        </w:rPr>
        <w:t>降成本提效益专项指标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情况</w:t>
      </w:r>
    </w:p>
    <w:p>
      <w:pPr>
        <w:rPr>
          <w:vanish/>
          <w:sz w:val="24"/>
          <w:szCs w:val="24"/>
          <w:woUserID w:val="2"/>
        </w:rPr>
      </w:pPr>
    </w:p>
    <w:tbl>
      <w:tblPr>
        <w:tblStyle w:val="12"/>
        <w:tblW w:w="4982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1"/>
        <w:gridCol w:w="1160"/>
        <w:gridCol w:w="1160"/>
        <w:gridCol w:w="1160"/>
        <w:gridCol w:w="1084"/>
        <w:gridCol w:w="25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tblHeader/>
          <w:jc w:val="center"/>
        </w:trPr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2"/>
              </w:rPr>
              <w:t>指标名称</w:t>
            </w:r>
          </w:p>
        </w:tc>
        <w:tc>
          <w:tcPr>
            <w:tcW w:w="64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2"/>
              </w:rPr>
              <w:t>集团2024年预算</w:t>
            </w:r>
          </w:p>
        </w:tc>
        <w:tc>
          <w:tcPr>
            <w:tcW w:w="64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2"/>
              </w:rPr>
              <w:t>同比增减百分点</w:t>
            </w:r>
          </w:p>
        </w:tc>
        <w:tc>
          <w:tcPr>
            <w:tcW w:w="64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woUserID w:val="2"/>
              </w:rPr>
              <w:t>核心业务2024年预算</w:t>
            </w:r>
          </w:p>
        </w:tc>
        <w:tc>
          <w:tcPr>
            <w:tcW w:w="60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2"/>
              </w:rPr>
              <w:t>同比增减百分点</w:t>
            </w:r>
          </w:p>
        </w:tc>
        <w:tc>
          <w:tcPr>
            <w:tcW w:w="14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2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highlight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2"/>
              </w:rPr>
              <w:t>毛利率</w:t>
            </w:r>
          </w:p>
        </w:tc>
        <w:tc>
          <w:tcPr>
            <w:tcW w:w="64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woUserID w:val="2"/>
              </w:rPr>
              <w:t>10.7%</w:t>
            </w:r>
          </w:p>
        </w:tc>
        <w:tc>
          <w:tcPr>
            <w:tcW w:w="64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woUserID w:val="2"/>
              </w:rPr>
              <w:t>0.65</w:t>
            </w:r>
          </w:p>
        </w:tc>
        <w:tc>
          <w:tcPr>
            <w:tcW w:w="64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woUserID w:val="2"/>
              </w:rPr>
              <w:t>16.3%</w:t>
            </w:r>
          </w:p>
        </w:tc>
        <w:tc>
          <w:tcPr>
            <w:tcW w:w="60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woUserID w:val="2"/>
              </w:rPr>
              <w:t>-3.2</w:t>
            </w:r>
          </w:p>
        </w:tc>
        <w:tc>
          <w:tcPr>
            <w:tcW w:w="14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2"/>
              </w:rPr>
              <w:t>微精电机、九洲迪飞、九洲空管、九洲防控、四川九洲光电、依顿电子等11家公司毛利率同比下降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2"/>
              </w:rPr>
              <w:t>成本费用率</w:t>
            </w:r>
          </w:p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sz w:val="24"/>
                <w:szCs w:val="24"/>
                <w:highlight w:val="none"/>
                <w:woUserID w:val="2"/>
              </w:rPr>
            </w:pPr>
          </w:p>
        </w:tc>
        <w:tc>
          <w:tcPr>
            <w:tcW w:w="64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  <w:woUserID w:val="2"/>
              </w:rPr>
              <w:t>98%</w:t>
            </w:r>
          </w:p>
        </w:tc>
        <w:tc>
          <w:tcPr>
            <w:tcW w:w="64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  <w:woUserID w:val="2"/>
              </w:rPr>
              <w:t>-0.21</w:t>
            </w:r>
          </w:p>
        </w:tc>
        <w:tc>
          <w:tcPr>
            <w:tcW w:w="64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woUserID w:val="2"/>
              </w:rPr>
              <w:t>97.7%</w:t>
            </w:r>
          </w:p>
        </w:tc>
        <w:tc>
          <w:tcPr>
            <w:tcW w:w="60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2"/>
              </w:rPr>
              <w:t>1.1</w:t>
            </w:r>
          </w:p>
        </w:tc>
        <w:tc>
          <w:tcPr>
            <w:tcW w:w="14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2"/>
              </w:rPr>
              <w:t>四川九洲光电、九洲电器、九洲空管、九洲迪飞、九州科技、九洲防控、微精电机、依顿电子营业成本增幅大于营业收入增幅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highlight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2"/>
              </w:rPr>
              <w:t>三项费用占营收比重</w:t>
            </w:r>
          </w:p>
        </w:tc>
        <w:tc>
          <w:tcPr>
            <w:tcW w:w="64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  <w:woUserID w:val="2"/>
              </w:rPr>
              <w:t>5.58%</w:t>
            </w:r>
          </w:p>
        </w:tc>
        <w:tc>
          <w:tcPr>
            <w:tcW w:w="64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  <w:woUserID w:val="2"/>
              </w:rPr>
              <w:t>0.36</w:t>
            </w:r>
          </w:p>
        </w:tc>
        <w:tc>
          <w:tcPr>
            <w:tcW w:w="64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2"/>
              </w:rPr>
              <w:t>8.5%</w:t>
            </w:r>
          </w:p>
        </w:tc>
        <w:tc>
          <w:tcPr>
            <w:tcW w:w="60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:woUserID w:val="2"/>
              </w:rPr>
              <w:t>-1.5</w:t>
            </w:r>
          </w:p>
        </w:tc>
        <w:tc>
          <w:tcPr>
            <w:tcW w:w="14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2"/>
              </w:rPr>
              <w:t>九洲空管、九洲星熠、九洲隆瓴、志良电子、九洲教投费用率较去年同比上升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2"/>
              </w:rPr>
              <w:t>人工成本利润率</w:t>
            </w:r>
          </w:p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highlight w:val="none"/>
                <w:woUserID w:val="2"/>
              </w:rPr>
            </w:pPr>
          </w:p>
        </w:tc>
        <w:tc>
          <w:tcPr>
            <w:tcW w:w="64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2"/>
              </w:rPr>
              <w:t>25%</w:t>
            </w:r>
          </w:p>
        </w:tc>
        <w:tc>
          <w:tcPr>
            <w:tcW w:w="64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:woUserID w:val="2"/>
              </w:rPr>
              <w:t>1.1</w:t>
            </w:r>
          </w:p>
        </w:tc>
        <w:tc>
          <w:tcPr>
            <w:tcW w:w="64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2"/>
              </w:rPr>
              <w:t>25%</w:t>
            </w:r>
          </w:p>
        </w:tc>
        <w:tc>
          <w:tcPr>
            <w:tcW w:w="60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:woUserID w:val="2"/>
              </w:rPr>
              <w:t>1.1</w:t>
            </w:r>
          </w:p>
        </w:tc>
        <w:tc>
          <w:tcPr>
            <w:tcW w:w="14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leftChars="0" w:right="0" w:rightChars="0"/>
              <w:jc w:val="righ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woUserID w:val="2"/>
              </w:rPr>
            </w:pPr>
          </w:p>
        </w:tc>
      </w:tr>
    </w:tbl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1" w:firstLineChars="200"/>
        <w:textAlignment w:val="auto"/>
        <w:rPr>
          <w:rFonts w:hint="default"/>
          <w:lang w:val="en-US" w:eastAsia="zh-CN"/>
          <w:woUserID w:val="2"/>
        </w:rPr>
      </w:pPr>
      <w:r>
        <w:rPr>
          <w:rFonts w:hint="eastAsia" w:ascii="楷体_GB2312" w:hAnsi="楷体_GB2312" w:eastAsia="楷体_GB2312" w:cs="楷体_GB2312"/>
          <w:b/>
          <w:highlight w:val="none"/>
          <w:lang w:val="en-US" w:eastAsia="zh-CN"/>
          <w:woUserID w:val="2"/>
        </w:rPr>
        <w:t>（</w:t>
      </w:r>
      <w:r>
        <w:rPr>
          <w:rFonts w:hint="default" w:ascii="楷体_GB2312" w:hAnsi="楷体_GB2312" w:eastAsia="楷体_GB2312" w:cs="楷体_GB2312"/>
          <w:b/>
          <w:highlight w:val="none"/>
          <w:lang w:eastAsia="zh-CN"/>
          <w:woUserID w:val="2"/>
        </w:rPr>
        <w:t>二</w:t>
      </w:r>
      <w:r>
        <w:rPr>
          <w:rFonts w:hint="eastAsia" w:ascii="楷体_GB2312" w:hAnsi="楷体_GB2312" w:eastAsia="楷体_GB2312" w:cs="楷体_GB2312"/>
          <w:b/>
          <w:highlight w:val="none"/>
          <w:lang w:val="en-US" w:eastAsia="zh-CN"/>
          <w:woUserID w:val="2"/>
        </w:rPr>
        <w:t>）集团</w:t>
      </w:r>
      <w:r>
        <w:rPr>
          <w:rFonts w:hint="default" w:ascii="楷体_GB2312" w:hAnsi="楷体_GB2312" w:eastAsia="楷体_GB2312" w:cs="楷体_GB2312"/>
          <w:b/>
          <w:highlight w:val="none"/>
          <w:lang w:eastAsia="zh-CN"/>
          <w:woUserID w:val="2"/>
        </w:rPr>
        <w:t>收支</w:t>
      </w:r>
      <w:r>
        <w:rPr>
          <w:rFonts w:hint="eastAsia" w:ascii="楷体_GB2312" w:hAnsi="楷体_GB2312" w:eastAsia="楷体_GB2312" w:cs="楷体_GB2312"/>
          <w:b/>
          <w:highlight w:val="none"/>
          <w:lang w:val="en-US" w:eastAsia="zh-CN"/>
          <w:woUserID w:val="2"/>
        </w:rPr>
        <w:t>预算</w:t>
      </w:r>
    </w:p>
    <w:p>
      <w:pPr>
        <w:pStyle w:val="11"/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1" w:firstLineChars="200"/>
        <w:jc w:val="both"/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>2024年集团经营性净流入减少，投资净流出增加，缺口通过筹资弥补。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2024年集团资金净流入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>28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.5亿元。其中，经营性资金预算净流入3.5亿元，同比减少5.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>1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亿元；投资性资金预算净流出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>28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亿元，同比增加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>9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亿元；筹资性资金净流入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>53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亿元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>（含国开基金股权融资25亿）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，同比增加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>33.8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亿元。</w:t>
      </w:r>
    </w:p>
    <w:p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1" w:firstLineChars="200"/>
        <w:jc w:val="center"/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>表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1"/>
        </w:rPr>
        <w:t>5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 xml:space="preserve"> 资金收支情况变动表</w:t>
      </w:r>
      <w:r>
        <w:rPr>
          <w:rFonts w:hint="default" w:ascii="仿宋_GB2312" w:hAnsi="Calibri" w:eastAsia="仿宋_GB2312" w:cs="仿宋_GB2312"/>
          <w:b w:val="0"/>
          <w:bCs/>
          <w:kern w:val="2"/>
          <w:sz w:val="24"/>
          <w:szCs w:val="24"/>
          <w:lang w:val="en-US" w:eastAsia="zh-CN" w:bidi="ar"/>
          <w:woUserID w:val="2"/>
        </w:rPr>
        <w:t>（单位：亿元）</w:t>
      </w:r>
    </w:p>
    <w:tbl>
      <w:tblPr>
        <w:tblStyle w:val="13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890"/>
        <w:gridCol w:w="890"/>
        <w:gridCol w:w="890"/>
        <w:gridCol w:w="5"/>
        <w:gridCol w:w="890"/>
        <w:gridCol w:w="5"/>
        <w:gridCol w:w="892"/>
        <w:gridCol w:w="5"/>
        <w:gridCol w:w="906"/>
        <w:gridCol w:w="7"/>
        <w:gridCol w:w="2284"/>
        <w:gridCol w:w="11"/>
        <w:gridCol w:w="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2" w:type="pct"/>
          <w:trHeight w:val="620" w:hRule="atLeast"/>
          <w:tblHeader/>
        </w:trPr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项目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2020年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2021年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2022年</w:t>
            </w:r>
          </w:p>
        </w:tc>
        <w:tc>
          <w:tcPr>
            <w:tcW w:w="4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Times New Roman"/>
                <w:color w:val="000000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2023年</w:t>
            </w:r>
          </w:p>
        </w:tc>
        <w:tc>
          <w:tcPr>
            <w:tcW w:w="49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Times New Roman"/>
                <w:color w:val="000000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2024年</w:t>
            </w: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预算</w:t>
            </w:r>
          </w:p>
        </w:tc>
        <w:tc>
          <w:tcPr>
            <w:tcW w:w="50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Calibri" w:hAnsi="Calibri" w:eastAsia="宋体" w:cs="Times New Roman"/>
                <w:color w:val="000000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同比变动额</w:t>
            </w:r>
          </w:p>
        </w:tc>
        <w:tc>
          <w:tcPr>
            <w:tcW w:w="12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主要变动公司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</w:trPr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期初余额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26.4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42.7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44.8</w:t>
            </w:r>
          </w:p>
        </w:tc>
        <w:tc>
          <w:tcPr>
            <w:tcW w:w="4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33.8</w:t>
            </w:r>
          </w:p>
        </w:tc>
        <w:tc>
          <w:tcPr>
            <w:tcW w:w="49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42.4</w:t>
            </w:r>
          </w:p>
        </w:tc>
        <w:tc>
          <w:tcPr>
            <w:tcW w:w="50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8.6</w:t>
            </w:r>
          </w:p>
        </w:tc>
        <w:tc>
          <w:tcPr>
            <w:tcW w:w="127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仿宋_GB2312" w:hAnsi="Calibri" w:eastAsia="仿宋_GB2312" w:cs="仿宋_GB2312"/>
                <w:color w:val="000000"/>
                <w:kern w:val="2"/>
                <w:sz w:val="32"/>
                <w:szCs w:val="32"/>
                <w:woUserID w:val="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</w:trPr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当年</w:t>
            </w: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资金收支</w:t>
            </w: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差</w:t>
            </w:r>
            <w:r>
              <w:rPr>
                <w:rStyle w:val="16"/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footnoteReference w:id="1"/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16.3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2.1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-11</w:t>
            </w:r>
          </w:p>
        </w:tc>
        <w:tc>
          <w:tcPr>
            <w:tcW w:w="4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8.</w:t>
            </w: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6</w:t>
            </w:r>
          </w:p>
        </w:tc>
        <w:tc>
          <w:tcPr>
            <w:tcW w:w="49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  <w:t>28.5</w:t>
            </w:r>
          </w:p>
        </w:tc>
        <w:tc>
          <w:tcPr>
            <w:tcW w:w="50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  <w:t>19.8</w:t>
            </w:r>
          </w:p>
        </w:tc>
        <w:tc>
          <w:tcPr>
            <w:tcW w:w="127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仿宋_GB2312" w:hAnsi="Calibri" w:eastAsia="仿宋_GB2312" w:cs="仿宋_GB2312"/>
                <w:color w:val="000000"/>
                <w:kern w:val="2"/>
                <w:sz w:val="32"/>
                <w:szCs w:val="32"/>
                <w:woUserID w:val="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1700" w:hRule="atLeast"/>
        </w:trPr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经营活动净额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9.2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-12.1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6.8</w:t>
            </w:r>
          </w:p>
        </w:tc>
        <w:tc>
          <w:tcPr>
            <w:tcW w:w="4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8.6</w:t>
            </w:r>
          </w:p>
        </w:tc>
        <w:tc>
          <w:tcPr>
            <w:tcW w:w="49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3.5</w:t>
            </w:r>
          </w:p>
        </w:tc>
        <w:tc>
          <w:tcPr>
            <w:tcW w:w="50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-5.1</w:t>
            </w:r>
          </w:p>
        </w:tc>
        <w:tc>
          <w:tcPr>
            <w:tcW w:w="127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leftChars="0" w:right="0"/>
              <w:jc w:val="both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净流出增加：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九洲电器增加8亿</w:t>
            </w: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；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科瑞增加3.8亿</w:t>
            </w: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；九洲空管增加2.19亿；深圳九洲电器增加1.25亿；九州科技增加0.6亿</w:t>
            </w:r>
          </w:p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leftChars="0" w:right="0"/>
              <w:jc w:val="both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净流入增加：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千城增加7亿；依顿增加0.9亿；深九发增加1.1亿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</w:trPr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投资活动净额</w:t>
            </w: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（负数表示净支出）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-7.5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-32.2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-27.8</w:t>
            </w:r>
          </w:p>
        </w:tc>
        <w:tc>
          <w:tcPr>
            <w:tcW w:w="4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-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19.1</w:t>
            </w:r>
          </w:p>
        </w:tc>
        <w:tc>
          <w:tcPr>
            <w:tcW w:w="49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-28</w:t>
            </w:r>
          </w:p>
        </w:tc>
        <w:tc>
          <w:tcPr>
            <w:tcW w:w="50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-9</w:t>
            </w:r>
          </w:p>
        </w:tc>
        <w:tc>
          <w:tcPr>
            <w:tcW w:w="127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leftChars="0" w:right="0"/>
              <w:jc w:val="both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净流出增加：</w:t>
            </w: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总部增加</w:t>
            </w: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4.7</w:t>
            </w: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亿；</w:t>
            </w: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九洲空管增加1.96亿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；</w:t>
            </w: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九洲电器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增加1亿；线缆增加1.4亿</w:t>
            </w:r>
          </w:p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leftChars="0" w:right="0"/>
              <w:jc w:val="both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净</w:t>
            </w: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流入增加</w:t>
            </w: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：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依顿电子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增加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2.6亿、九洲创投增加0.7亿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1056" w:hRule="atLeast"/>
        </w:trPr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筹资活动净额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14.6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46.4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10.1</w:t>
            </w:r>
          </w:p>
        </w:tc>
        <w:tc>
          <w:tcPr>
            <w:tcW w:w="4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19.</w:t>
            </w: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1</w:t>
            </w:r>
          </w:p>
        </w:tc>
        <w:tc>
          <w:tcPr>
            <w:tcW w:w="49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  <w:t>53</w:t>
            </w:r>
          </w:p>
        </w:tc>
        <w:tc>
          <w:tcPr>
            <w:tcW w:w="50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  <w:t>33.8</w:t>
            </w:r>
          </w:p>
        </w:tc>
        <w:tc>
          <w:tcPr>
            <w:tcW w:w="127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0" w:leftChars="0" w:right="0"/>
              <w:jc w:val="both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净流入增加：</w:t>
            </w: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总部增加</w:t>
            </w: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44</w:t>
            </w: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亿</w:t>
            </w: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（含25亿国开融资）</w:t>
            </w: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；</w:t>
            </w: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九洲空管增加3.06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亿；九洲线缆增加2.4亿；依顿电子增加1.3亿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期末余额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42.7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44.8</w:t>
            </w:r>
          </w:p>
        </w:tc>
        <w:tc>
          <w:tcPr>
            <w:tcW w:w="4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33.8</w:t>
            </w:r>
          </w:p>
        </w:tc>
        <w:tc>
          <w:tcPr>
            <w:tcW w:w="4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42.4</w:t>
            </w:r>
          </w:p>
        </w:tc>
        <w:tc>
          <w:tcPr>
            <w:tcW w:w="49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  <w:t>71</w:t>
            </w:r>
          </w:p>
        </w:tc>
        <w:tc>
          <w:tcPr>
            <w:tcW w:w="50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  <w:t>28.6</w:t>
            </w:r>
          </w:p>
        </w:tc>
        <w:tc>
          <w:tcPr>
            <w:tcW w:w="127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仿宋_GB2312" w:hAnsi="Calibri" w:eastAsia="仿宋_GB2312" w:cs="仿宋_GB2312"/>
                <w:color w:val="000000"/>
                <w:kern w:val="2"/>
                <w:sz w:val="32"/>
                <w:szCs w:val="32"/>
                <w:woUserID w:val="2"/>
              </w:rPr>
            </w:pPr>
          </w:p>
        </w:tc>
      </w:tr>
    </w:tbl>
    <w:p>
      <w:pPr>
        <w:pStyle w:val="11"/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0" w:firstLineChars="0"/>
        <w:jc w:val="both"/>
        <w:rPr>
          <w:rFonts w:hint="default" w:ascii="楷体_GB2312" w:hAnsi="宋体" w:eastAsia="楷体_GB2312" w:cs="楷体_GB2312"/>
          <w:b w:val="0"/>
          <w:bCs w:val="0"/>
          <w:color w:val="000000"/>
          <w:kern w:val="2"/>
          <w:sz w:val="32"/>
          <w:szCs w:val="32"/>
          <w:lang w:eastAsia="zh-CN" w:bidi="ar"/>
          <w:woUserID w:val="2"/>
        </w:rPr>
      </w:pPr>
      <w:r>
        <w:rPr>
          <w:rFonts w:hint="default" w:ascii="楷体_GB2312" w:eastAsia="楷体_GB2312" w:cs="楷体_GB2312"/>
          <w:b/>
          <w:bCs/>
          <w:color w:val="000000"/>
          <w:kern w:val="2"/>
          <w:sz w:val="32"/>
          <w:szCs w:val="32"/>
          <w:lang w:eastAsia="zh-CN" w:bidi="ar"/>
          <w:woUserID w:val="2"/>
        </w:rPr>
        <w:t xml:space="preserve">     债务</w:t>
      </w:r>
      <w:r>
        <w:rPr>
          <w:rFonts w:hint="default" w:ascii="楷体_GB2312" w:hAnsi="宋体" w:eastAsia="楷体_GB2312" w:cs="楷体_GB2312"/>
          <w:b/>
          <w:bCs/>
          <w:color w:val="000000"/>
          <w:kern w:val="2"/>
          <w:sz w:val="32"/>
          <w:szCs w:val="32"/>
          <w:lang w:val="en-US" w:eastAsia="zh-CN" w:bidi="ar"/>
          <w:woUserID w:val="2"/>
        </w:rPr>
        <w:t>融资预算。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"/>
          <w:woUserID w:val="2"/>
        </w:rPr>
        <w:t>2024年融资预算余额2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eastAsia="zh-CN" w:bidi="ar"/>
          <w:woUserID w:val="2"/>
        </w:rPr>
        <w:t>29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"/>
          <w:woUserID w:val="2"/>
        </w:rPr>
        <w:t>.8亿，较上年净增加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eastAsia="zh-CN" w:bidi="ar"/>
          <w:woUserID w:val="2"/>
        </w:rPr>
        <w:t>43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"/>
          <w:woUserID w:val="2"/>
        </w:rPr>
        <w:t>亿，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eastAsia="zh-CN" w:bidi="ar"/>
          <w:woUserID w:val="2"/>
        </w:rPr>
        <w:t>其中总部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eastAsia="zh-CN" w:bidi="ar"/>
          <w:woUserID w:val="2"/>
        </w:rPr>
        <w:t>19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eastAsia="zh-CN" w:bidi="ar"/>
          <w:woUserID w:val="2"/>
        </w:rPr>
        <w:t>亿元、产业公司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eastAsia="zh-CN" w:bidi="ar"/>
          <w:woUserID w:val="2"/>
        </w:rPr>
        <w:t>24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eastAsia="zh-CN" w:bidi="ar"/>
          <w:woUserID w:val="2"/>
        </w:rPr>
        <w:t>亿元，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"/>
          <w:woUserID w:val="2"/>
        </w:rPr>
        <w:t>主要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eastAsia="zh-CN" w:bidi="ar"/>
          <w:woUserID w:val="2"/>
        </w:rPr>
        <w:t>用于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"/>
          <w:woUserID w:val="2"/>
        </w:rPr>
        <w:t>股权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eastAsia="zh-CN" w:bidi="ar"/>
          <w:woUserID w:val="2"/>
        </w:rPr>
        <w:t>投资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"/>
          <w:woUserID w:val="2"/>
        </w:rPr>
        <w:t>、固定资产投资及补充运营资金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eastAsia="zh-CN" w:bidi="ar"/>
          <w:woUserID w:val="2"/>
        </w:rPr>
        <w:t>。（详见下表）</w:t>
      </w: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0" w:firstLineChars="0"/>
        <w:jc w:val="center"/>
        <w:textAlignment w:val="auto"/>
        <w:rPr>
          <w:rFonts w:hint="default" w:ascii="楷体_GB2312" w:hAnsi="楷体_GB2312" w:eastAsia="楷体_GB2312" w:cs="楷体_GB2312"/>
          <w:b/>
          <w:highlight w:val="none"/>
          <w:lang w:eastAsia="zh-CN"/>
          <w:woUserID w:val="2"/>
        </w:rPr>
      </w:pPr>
      <w:r>
        <w:rPr>
          <w:rFonts w:hint="default" w:ascii="楷体_GB2312" w:hAnsi="楷体_GB2312" w:eastAsia="楷体_GB2312" w:cs="楷体_GB2312"/>
          <w:b/>
          <w:highlight w:val="none"/>
          <w:lang w:eastAsia="zh-CN"/>
          <w:woUserID w:val="2"/>
        </w:rPr>
        <w:t>表</w:t>
      </w:r>
      <w:r>
        <w:rPr>
          <w:rFonts w:hint="default" w:ascii="楷体_GB2312" w:hAnsi="楷体_GB2312" w:eastAsia="楷体_GB2312" w:cs="楷体_GB2312"/>
          <w:b/>
          <w:highlight w:val="none"/>
          <w:lang w:eastAsia="zh-CN"/>
          <w:woUserID w:val="1"/>
        </w:rPr>
        <w:t>6</w:t>
      </w:r>
      <w:r>
        <w:rPr>
          <w:rFonts w:hint="default" w:ascii="楷体_GB2312" w:hAnsi="楷体_GB2312" w:eastAsia="楷体_GB2312" w:cs="楷体_GB2312"/>
          <w:b/>
          <w:highlight w:val="none"/>
          <w:lang w:eastAsia="zh-CN"/>
          <w:woUserID w:val="2"/>
        </w:rPr>
        <w:t xml:space="preserve"> 债务融资预算变动情况表</w:t>
      </w:r>
    </w:p>
    <w:tbl>
      <w:tblPr>
        <w:tblStyle w:val="12"/>
        <w:tblW w:w="89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2244"/>
        <w:gridCol w:w="1119"/>
        <w:gridCol w:w="407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tblHeader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公司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2024年预算净增加额</w:t>
            </w: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（亿元）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期末余额</w:t>
            </w: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（亿元）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主要用途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总部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  <w:t>19.2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156.52 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股权投资、固定资产及信息化建设、补充流动资金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九洲电器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5.00 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13.49 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补充流动资金；军工能力建设项目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九洲空管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3.11 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5.85 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  <w:t>回款困难，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补充运营资金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:woUserID w:val="2"/>
              </w:rPr>
              <w:t>九洲线缆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:woUserID w:val="2"/>
              </w:rPr>
              <w:t xml:space="preserve">2.27 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:woUserID w:val="2"/>
              </w:rPr>
              <w:t xml:space="preserve">8.54 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:woUserID w:val="2"/>
              </w:rPr>
              <w:t>补充运营资金；及投资110kV聚丙烯绝缘平滑铝护套大长度环保高压电缆项目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:woUserID w:val="2"/>
              </w:rPr>
              <w:t>四川科瑞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eastAsia="zh-CN" w:bidi="ar"/>
                <w:woUserID w:val="2"/>
              </w:rPr>
              <w:t>5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:woUserID w:val="2"/>
              </w:rPr>
              <w:t xml:space="preserve">.99 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woUserID w:val="2"/>
              </w:rPr>
              <w:t>8.33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:woUserID w:val="2"/>
              </w:rPr>
              <w:t>补充运营资金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香港控股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1.41 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3.27 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补充运营资金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九洲隆瓴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0.77 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0.90 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补充运营资金；座舱电子、电池管理系统等信息系统建设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中油九洲北斗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0.52 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0.85 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新建加油站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九州科技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0.50 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1.00 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数字工厂二期建设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九洲软件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0.50 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0.50 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补充流动资金；数字化系统建设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九州光电子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0.40 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1.10 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光模块研发与产业化投资项目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九洲迪飞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0.35 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1.10 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科研生产线建设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四川九洲光电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0.33 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2.03 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LED特种照明和智慧健康照明产品规模化产能建设项目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安和精密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0.29 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0.73 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新建自动化产线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环保科技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0.17 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0.17 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润滑油产线搬迁及新购置回收处理装置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其他公司合计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2.30 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8.66 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补充运营资金</w:t>
            </w:r>
          </w:p>
        </w:tc>
      </w:tr>
    </w:tbl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1" w:firstLineChars="200"/>
        <w:textAlignment w:val="auto"/>
        <w:rPr>
          <w:rFonts w:hint="eastAsia" w:ascii="楷体_GB2312" w:hAnsi="楷体_GB2312" w:eastAsia="楷体_GB2312" w:cs="楷体_GB2312"/>
          <w:b/>
          <w:highlight w:val="none"/>
          <w:lang w:val="en-US" w:eastAsia="zh-CN"/>
          <w:woUserID w:val="2"/>
        </w:rPr>
      </w:pPr>
      <w:r>
        <w:rPr>
          <w:rFonts w:hint="eastAsia" w:ascii="楷体_GB2312" w:hAnsi="楷体_GB2312" w:eastAsia="楷体_GB2312" w:cs="楷体_GB2312"/>
          <w:b/>
          <w:highlight w:val="none"/>
          <w:lang w:val="en-US" w:eastAsia="zh-CN"/>
          <w:woUserID w:val="2"/>
        </w:rPr>
        <w:t>（</w:t>
      </w:r>
      <w:r>
        <w:rPr>
          <w:rFonts w:hint="default" w:ascii="楷体_GB2312" w:hAnsi="楷体_GB2312" w:eastAsia="楷体_GB2312" w:cs="楷体_GB2312"/>
          <w:b/>
          <w:highlight w:val="none"/>
          <w:lang w:eastAsia="zh-CN"/>
          <w:woUserID w:val="2"/>
        </w:rPr>
        <w:t>三</w:t>
      </w:r>
      <w:r>
        <w:rPr>
          <w:rFonts w:hint="eastAsia" w:ascii="楷体_GB2312" w:hAnsi="楷体_GB2312" w:eastAsia="楷体_GB2312" w:cs="楷体_GB2312"/>
          <w:b/>
          <w:highlight w:val="none"/>
          <w:lang w:val="en-US" w:eastAsia="zh-CN"/>
          <w:woUserID w:val="2"/>
        </w:rPr>
        <w:t>）</w:t>
      </w:r>
      <w:r>
        <w:rPr>
          <w:rFonts w:hint="default" w:ascii="楷体_GB2312" w:hAnsi="楷体_GB2312" w:eastAsia="楷体_GB2312" w:cs="楷体_GB2312"/>
          <w:b/>
          <w:highlight w:val="none"/>
          <w:lang w:eastAsia="zh-CN"/>
          <w:woUserID w:val="1"/>
        </w:rPr>
        <w:t>经营</w:t>
      </w:r>
      <w:r>
        <w:rPr>
          <w:rFonts w:hint="eastAsia" w:ascii="楷体_GB2312" w:hAnsi="楷体_GB2312" w:eastAsia="楷体_GB2312" w:cs="楷体_GB2312"/>
          <w:b/>
          <w:highlight w:val="none"/>
          <w:lang w:val="en-US" w:eastAsia="zh-CN"/>
          <w:woUserID w:val="2"/>
        </w:rPr>
        <w:t>预算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1" w:firstLineChars="200"/>
        <w:jc w:val="both"/>
        <w:textAlignment w:val="auto"/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1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>1.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1"/>
        </w:rPr>
        <w:t>业务预算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leftChars="0" w:right="0" w:firstLine="0" w:firstLineChars="0"/>
        <w:jc w:val="both"/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eastAsia="zh-CN" w:bidi="ar"/>
          <w:woUserID w:val="1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 xml:space="preserve">    集团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1"/>
        </w:rPr>
        <w:t>重点培育打造军工电子系统装备、通信与智能终端、高端电子元器件、软件与信息服务、汽车电子五大领军型产业集群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>。其中，</w:t>
      </w:r>
      <w:r>
        <w:rPr>
          <w:rFonts w:hint="default" w:ascii="仿宋_GB2312" w:hAnsi="等线" w:eastAsia="仿宋_GB2312" w:cs="仿宋_GB2312"/>
          <w:color w:val="000000"/>
          <w:kern w:val="0"/>
          <w:sz w:val="32"/>
          <w:szCs w:val="32"/>
          <w:lang w:val="en-US" w:eastAsia="zh-CN" w:bidi="ar"/>
          <w:woUserID w:val="1"/>
        </w:rPr>
        <w:t>通信与智能终端、高端电子元器件、软件与信息服务三大领军产业集群</w:t>
      </w:r>
      <w:r>
        <w:rPr>
          <w:rFonts w:hint="default" w:ascii="仿宋_GB2312" w:hAnsi="等线" w:eastAsia="仿宋_GB2312" w:cs="仿宋_GB2312"/>
          <w:color w:val="000000"/>
          <w:kern w:val="0"/>
          <w:sz w:val="32"/>
          <w:szCs w:val="32"/>
          <w:lang w:eastAsia="zh-CN" w:bidi="ar"/>
          <w:woUserID w:val="1"/>
        </w:rPr>
        <w:t>预计</w:t>
      </w:r>
      <w:r>
        <w:rPr>
          <w:rFonts w:hint="default" w:ascii="仿宋_GB2312" w:hAnsi="等线" w:eastAsia="仿宋_GB2312" w:cs="仿宋_GB2312"/>
          <w:color w:val="000000"/>
          <w:kern w:val="0"/>
          <w:sz w:val="32"/>
          <w:szCs w:val="32"/>
          <w:lang w:val="en-US" w:eastAsia="zh-CN" w:bidi="ar"/>
          <w:woUserID w:val="1"/>
        </w:rPr>
        <w:t>贡献营收增量</w:t>
      </w:r>
      <w:r>
        <w:rPr>
          <w:rFonts w:hint="default" w:ascii="仿宋_GB2312" w:hAnsi="等线" w:eastAsia="仿宋_GB2312" w:cs="仿宋_GB2312"/>
          <w:color w:val="000000"/>
          <w:kern w:val="0"/>
          <w:sz w:val="32"/>
          <w:szCs w:val="32"/>
          <w:lang w:eastAsia="zh-CN" w:bidi="ar"/>
          <w:woUserID w:val="1"/>
        </w:rPr>
        <w:t>48</w:t>
      </w:r>
      <w:r>
        <w:rPr>
          <w:rFonts w:hint="default" w:ascii="仿宋_GB2312" w:hAnsi="等线" w:eastAsia="仿宋_GB2312" w:cs="仿宋_GB2312"/>
          <w:color w:val="000000"/>
          <w:kern w:val="0"/>
          <w:sz w:val="32"/>
          <w:szCs w:val="32"/>
          <w:lang w:val="en-US" w:eastAsia="zh-CN" w:bidi="ar"/>
          <w:woUserID w:val="1"/>
        </w:rPr>
        <w:t>亿、利润增量2.</w:t>
      </w:r>
      <w:r>
        <w:rPr>
          <w:rFonts w:hint="default" w:ascii="仿宋_GB2312" w:hAnsi="等线" w:eastAsia="仿宋_GB2312" w:cs="仿宋_GB2312"/>
          <w:color w:val="000000"/>
          <w:kern w:val="0"/>
          <w:sz w:val="32"/>
          <w:szCs w:val="32"/>
          <w:lang w:eastAsia="zh-CN" w:bidi="ar"/>
          <w:woUserID w:val="1"/>
        </w:rPr>
        <w:t>7</w:t>
      </w:r>
      <w:r>
        <w:rPr>
          <w:rFonts w:hint="default" w:ascii="仿宋_GB2312" w:hAnsi="等线" w:eastAsia="仿宋_GB2312" w:cs="仿宋_GB2312"/>
          <w:color w:val="000000"/>
          <w:kern w:val="0"/>
          <w:sz w:val="32"/>
          <w:szCs w:val="32"/>
          <w:lang w:val="en-US" w:eastAsia="zh-CN" w:bidi="ar"/>
          <w:woUserID w:val="1"/>
        </w:rPr>
        <w:t>亿</w:t>
      </w:r>
      <w:r>
        <w:rPr>
          <w:rFonts w:hint="default" w:ascii="仿宋_GB2312" w:hAnsi="等线" w:eastAsia="仿宋_GB2312" w:cs="仿宋_GB2312"/>
          <w:color w:val="000000"/>
          <w:kern w:val="0"/>
          <w:sz w:val="32"/>
          <w:szCs w:val="32"/>
          <w:lang w:eastAsia="zh-CN" w:bidi="ar"/>
          <w:woUserID w:val="1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leftChars="0" w:right="0" w:firstLine="0" w:firstLineChars="0"/>
        <w:jc w:val="center"/>
        <w:rPr>
          <w:rFonts w:hint="default" w:ascii="楷体_GB2312" w:hAnsi="楷体_GB2312" w:eastAsia="楷体_GB2312" w:cs="楷体_GB2312"/>
          <w:b/>
          <w:color w:val="C00000"/>
          <w:sz w:val="32"/>
          <w:szCs w:val="40"/>
          <w:highlight w:val="none"/>
          <w:lang w:eastAsia="zh-CN"/>
          <w:woUserID w:val="1"/>
        </w:rPr>
      </w:pPr>
      <w:r>
        <w:rPr>
          <w:rFonts w:hint="eastAsia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1"/>
        </w:rPr>
        <w:t>表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1"/>
        </w:rPr>
        <w:t>7</w:t>
      </w:r>
      <w:r>
        <w:rPr>
          <w:rFonts w:hint="eastAsia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1"/>
        </w:rPr>
        <w:t xml:space="preserve"> 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1"/>
        </w:rPr>
        <w:t>核心业务板块年度预算情况</w:t>
      </w:r>
      <w:r>
        <w:rPr>
          <w:rFonts w:hint="default" w:ascii="仿宋_GB2312" w:hAnsi="Calibri" w:eastAsia="仿宋_GB2312" w:cs="仿宋_GB2312"/>
          <w:b w:val="0"/>
          <w:bCs/>
          <w:kern w:val="2"/>
          <w:sz w:val="24"/>
          <w:szCs w:val="24"/>
          <w:lang w:val="en-US" w:eastAsia="zh-CN" w:bidi="ar"/>
          <w:woUserID w:val="1"/>
        </w:rPr>
        <w:t>（单位：亿元）</w:t>
      </w:r>
    </w:p>
    <w:tbl>
      <w:tblPr>
        <w:tblStyle w:val="12"/>
        <w:tblW w:w="539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774"/>
        <w:gridCol w:w="704"/>
        <w:gridCol w:w="999"/>
        <w:gridCol w:w="724"/>
        <w:gridCol w:w="836"/>
        <w:gridCol w:w="832"/>
        <w:gridCol w:w="963"/>
        <w:gridCol w:w="727"/>
        <w:gridCol w:w="20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tblHeader/>
          <w:jc w:val="center"/>
        </w:trPr>
        <w:tc>
          <w:tcPr>
            <w:tcW w:w="607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业务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板块</w:t>
            </w:r>
          </w:p>
        </w:tc>
        <w:tc>
          <w:tcPr>
            <w:tcW w:w="1638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营业收入</w:t>
            </w:r>
          </w:p>
        </w:tc>
        <w:tc>
          <w:tcPr>
            <w:tcW w:w="1718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利润总额</w:t>
            </w:r>
          </w:p>
        </w:tc>
        <w:tc>
          <w:tcPr>
            <w:tcW w:w="1035" w:type="pct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年度经营要点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tblHeader/>
          <w:jc w:val="center"/>
        </w:trPr>
        <w:tc>
          <w:tcPr>
            <w:tcW w:w="607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1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目标</w:t>
            </w:r>
          </w:p>
        </w:tc>
        <w:tc>
          <w:tcPr>
            <w:tcW w:w="3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预算</w:t>
            </w:r>
          </w:p>
        </w:tc>
        <w:tc>
          <w:tcPr>
            <w:tcW w:w="51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同比增减额</w:t>
            </w:r>
          </w:p>
        </w:tc>
        <w:tc>
          <w:tcPr>
            <w:tcW w:w="3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同比</w:t>
            </w:r>
          </w:p>
        </w:tc>
        <w:tc>
          <w:tcPr>
            <w:tcW w:w="4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目标</w:t>
            </w:r>
          </w:p>
        </w:tc>
        <w:tc>
          <w:tcPr>
            <w:tcW w:w="4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预算</w:t>
            </w:r>
          </w:p>
        </w:tc>
        <w:tc>
          <w:tcPr>
            <w:tcW w:w="49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同比增减额</w:t>
            </w:r>
          </w:p>
        </w:tc>
        <w:tc>
          <w:tcPr>
            <w:tcW w:w="3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-SA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同比</w:t>
            </w:r>
          </w:p>
        </w:tc>
        <w:tc>
          <w:tcPr>
            <w:tcW w:w="1035" w:type="pct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集团合计</w:t>
            </w:r>
          </w:p>
        </w:tc>
        <w:tc>
          <w:tcPr>
            <w:tcW w:w="39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475</w:t>
            </w:r>
          </w:p>
        </w:tc>
        <w:tc>
          <w:tcPr>
            <w:tcW w:w="3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475</w:t>
            </w:r>
          </w:p>
        </w:tc>
        <w:tc>
          <w:tcPr>
            <w:tcW w:w="51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37.5</w:t>
            </w:r>
          </w:p>
        </w:tc>
        <w:tc>
          <w:tcPr>
            <w:tcW w:w="3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9%</w:t>
            </w:r>
          </w:p>
        </w:tc>
        <w:tc>
          <w:tcPr>
            <w:tcW w:w="4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10</w:t>
            </w:r>
          </w:p>
        </w:tc>
        <w:tc>
          <w:tcPr>
            <w:tcW w:w="4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9.5</w:t>
            </w:r>
          </w:p>
        </w:tc>
        <w:tc>
          <w:tcPr>
            <w:tcW w:w="49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1.7</w:t>
            </w:r>
          </w:p>
        </w:tc>
        <w:tc>
          <w:tcPr>
            <w:tcW w:w="3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22%</w:t>
            </w:r>
          </w:p>
        </w:tc>
        <w:tc>
          <w:tcPr>
            <w:tcW w:w="103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军工电子</w:t>
            </w:r>
          </w:p>
        </w:tc>
        <w:tc>
          <w:tcPr>
            <w:tcW w:w="39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80.4</w:t>
            </w:r>
          </w:p>
        </w:tc>
        <w:tc>
          <w:tcPr>
            <w:tcW w:w="3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80.4</w:t>
            </w:r>
          </w:p>
        </w:tc>
        <w:tc>
          <w:tcPr>
            <w:tcW w:w="51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2.5</w:t>
            </w:r>
          </w:p>
        </w:tc>
        <w:tc>
          <w:tcPr>
            <w:tcW w:w="3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3%</w:t>
            </w:r>
          </w:p>
        </w:tc>
        <w:tc>
          <w:tcPr>
            <w:tcW w:w="4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5.08</w:t>
            </w:r>
          </w:p>
        </w:tc>
        <w:tc>
          <w:tcPr>
            <w:tcW w:w="4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5.08</w:t>
            </w:r>
          </w:p>
        </w:tc>
        <w:tc>
          <w:tcPr>
            <w:tcW w:w="49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0.06</w:t>
            </w:r>
          </w:p>
        </w:tc>
        <w:tc>
          <w:tcPr>
            <w:tcW w:w="3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1%</w:t>
            </w:r>
          </w:p>
        </w:tc>
        <w:tc>
          <w:tcPr>
            <w:tcW w:w="103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/>
                <w:woUserID w:val="1"/>
              </w:rPr>
              <w:t>坚定军工“核心”地位不动摇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/>
                <w:woUserID w:val="1"/>
              </w:rPr>
              <w:t>，夯实九洲高质量发展基本盘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通信与智能终端</w:t>
            </w:r>
          </w:p>
        </w:tc>
        <w:tc>
          <w:tcPr>
            <w:tcW w:w="39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46.5</w:t>
            </w:r>
          </w:p>
        </w:tc>
        <w:tc>
          <w:tcPr>
            <w:tcW w:w="3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45.9</w:t>
            </w:r>
          </w:p>
        </w:tc>
        <w:tc>
          <w:tcPr>
            <w:tcW w:w="51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12.6</w:t>
            </w:r>
          </w:p>
        </w:tc>
        <w:tc>
          <w:tcPr>
            <w:tcW w:w="3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38%</w:t>
            </w:r>
          </w:p>
        </w:tc>
        <w:tc>
          <w:tcPr>
            <w:tcW w:w="4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1.93</w:t>
            </w:r>
          </w:p>
        </w:tc>
        <w:tc>
          <w:tcPr>
            <w:tcW w:w="4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1.93</w:t>
            </w:r>
          </w:p>
        </w:tc>
        <w:tc>
          <w:tcPr>
            <w:tcW w:w="49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0.7</w:t>
            </w:r>
          </w:p>
        </w:tc>
        <w:tc>
          <w:tcPr>
            <w:tcW w:w="3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kern w:val="2"/>
                <w:sz w:val="24"/>
                <w:szCs w:val="24"/>
                <w:woUserID w:val="1"/>
              </w:rPr>
              <w:t>51%</w:t>
            </w:r>
          </w:p>
        </w:tc>
        <w:tc>
          <w:tcPr>
            <w:tcW w:w="103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仿宋_GB2312" w:eastAsia="仿宋_GB2312" w:cs="仿宋_GB2312"/>
                <w:i w:val="0"/>
                <w:iCs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kern w:val="2"/>
                <w:sz w:val="24"/>
                <w:szCs w:val="24"/>
                <w:lang w:eastAsia="zh-CN"/>
                <w:woUserID w:val="1"/>
              </w:rPr>
              <w:t>坚持大客户战略、</w:t>
            </w:r>
            <w:r>
              <w:rPr>
                <w:rFonts w:hint="default" w:ascii="仿宋_GB2312" w:eastAsia="仿宋_GB2312" w:cs="仿宋_GB2312"/>
                <w:i w:val="0"/>
                <w:iCs w:val="0"/>
                <w:kern w:val="2"/>
                <w:sz w:val="24"/>
                <w:szCs w:val="24"/>
                <w:lang w:val="en-US" w:eastAsia="zh-CN"/>
                <w:woUserID w:val="1"/>
              </w:rPr>
              <w:t>增强民品智能终端产业价值创造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软件与数据智能</w:t>
            </w:r>
          </w:p>
        </w:tc>
        <w:tc>
          <w:tcPr>
            <w:tcW w:w="39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75.7</w:t>
            </w:r>
          </w:p>
        </w:tc>
        <w:tc>
          <w:tcPr>
            <w:tcW w:w="3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75.7</w:t>
            </w:r>
          </w:p>
        </w:tc>
        <w:tc>
          <w:tcPr>
            <w:tcW w:w="51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22.7</w:t>
            </w:r>
          </w:p>
        </w:tc>
        <w:tc>
          <w:tcPr>
            <w:tcW w:w="3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43%</w:t>
            </w:r>
          </w:p>
        </w:tc>
        <w:tc>
          <w:tcPr>
            <w:tcW w:w="4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1.26</w:t>
            </w:r>
          </w:p>
        </w:tc>
        <w:tc>
          <w:tcPr>
            <w:tcW w:w="4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1.26</w:t>
            </w:r>
          </w:p>
        </w:tc>
        <w:tc>
          <w:tcPr>
            <w:tcW w:w="49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0.5</w:t>
            </w:r>
          </w:p>
        </w:tc>
        <w:tc>
          <w:tcPr>
            <w:tcW w:w="3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62%</w:t>
            </w:r>
          </w:p>
        </w:tc>
        <w:tc>
          <w:tcPr>
            <w:tcW w:w="103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仿宋_GB2312" w:eastAsia="仿宋_GB2312" w:cs="仿宋_GB2312"/>
                <w:i w:val="0"/>
                <w:iCs w:val="0"/>
                <w:kern w:val="2"/>
                <w:sz w:val="24"/>
                <w:szCs w:val="24"/>
                <w:lang w:val="en-US" w:eastAsia="zh-CN"/>
                <w:woUserID w:val="1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kern w:val="2"/>
                <w:sz w:val="24"/>
                <w:szCs w:val="24"/>
                <w:lang w:val="en-US" w:eastAsia="zh-CN"/>
                <w:woUserID w:val="1"/>
              </w:rPr>
              <w:t>全面提升软件与数据智能产业的“含金量”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高端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元器件</w:t>
            </w:r>
          </w:p>
        </w:tc>
        <w:tc>
          <w:tcPr>
            <w:tcW w:w="39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10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eastAsia="zh-CN" w:bidi="ar"/>
                <w:woUserID w:val="1"/>
              </w:rPr>
              <w:t>6</w:t>
            </w:r>
          </w:p>
        </w:tc>
        <w:tc>
          <w:tcPr>
            <w:tcW w:w="3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106</w:t>
            </w:r>
          </w:p>
        </w:tc>
        <w:tc>
          <w:tcPr>
            <w:tcW w:w="51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eastAsia="zh-CN" w:bidi="ar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eastAsia="zh-CN" w:bidi="ar"/>
                <w:woUserID w:val="1"/>
              </w:rPr>
              <w:t>12.9</w:t>
            </w:r>
          </w:p>
        </w:tc>
        <w:tc>
          <w:tcPr>
            <w:tcW w:w="3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eastAsia="zh-CN" w:bidi="ar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eastAsia="zh-CN" w:bidi="ar"/>
                <w:woUserID w:val="1"/>
              </w:rPr>
              <w:t>14%</w:t>
            </w:r>
          </w:p>
        </w:tc>
        <w:tc>
          <w:tcPr>
            <w:tcW w:w="4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5.8</w:t>
            </w:r>
          </w:p>
        </w:tc>
        <w:tc>
          <w:tcPr>
            <w:tcW w:w="4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5.79</w:t>
            </w:r>
          </w:p>
        </w:tc>
        <w:tc>
          <w:tcPr>
            <w:tcW w:w="49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1.6</w:t>
            </w:r>
          </w:p>
        </w:tc>
        <w:tc>
          <w:tcPr>
            <w:tcW w:w="3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37%</w:t>
            </w:r>
          </w:p>
        </w:tc>
        <w:tc>
          <w:tcPr>
            <w:tcW w:w="103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仿宋_GB2312" w:eastAsia="仿宋_GB2312" w:cs="仿宋_GB2312"/>
                <w:i w:val="0"/>
                <w:iCs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kern w:val="2"/>
                <w:sz w:val="24"/>
                <w:szCs w:val="24"/>
                <w:lang w:val="en-US" w:eastAsia="zh-CN"/>
                <w:woUserID w:val="1"/>
              </w:rPr>
              <w:t>实现元器件产业高端化布局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汽车电子与装备</w:t>
            </w:r>
          </w:p>
        </w:tc>
        <w:tc>
          <w:tcPr>
            <w:tcW w:w="39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  <w:t>2</w:t>
            </w:r>
          </w:p>
        </w:tc>
        <w:tc>
          <w:tcPr>
            <w:tcW w:w="3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2</w:t>
            </w:r>
          </w:p>
        </w:tc>
        <w:tc>
          <w:tcPr>
            <w:tcW w:w="51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0.6</w:t>
            </w:r>
          </w:p>
        </w:tc>
        <w:tc>
          <w:tcPr>
            <w:tcW w:w="3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41%</w:t>
            </w:r>
          </w:p>
        </w:tc>
        <w:tc>
          <w:tcPr>
            <w:tcW w:w="4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-0.07</w:t>
            </w:r>
          </w:p>
        </w:tc>
        <w:tc>
          <w:tcPr>
            <w:tcW w:w="4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1"/>
              </w:rPr>
              <w:t>-0.07</w:t>
            </w:r>
          </w:p>
        </w:tc>
        <w:tc>
          <w:tcPr>
            <w:tcW w:w="49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0.2</w:t>
            </w:r>
          </w:p>
        </w:tc>
        <w:tc>
          <w:tcPr>
            <w:tcW w:w="3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  <w:t>70%</w:t>
            </w:r>
          </w:p>
        </w:tc>
        <w:tc>
          <w:tcPr>
            <w:tcW w:w="103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/>
                <w:woUserID w:val="1"/>
              </w:rPr>
              <w:t>实现汽车电子产品升级、能力升级</w:t>
            </w:r>
          </w:p>
        </w:tc>
      </w:tr>
    </w:tbl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1" w:firstLineChars="200"/>
        <w:jc w:val="both"/>
        <w:textAlignment w:val="auto"/>
        <w:rPr>
          <w:rFonts w:hint="eastAsia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1"/>
        </w:rPr>
        <w:t>2.</w:t>
      </w:r>
      <w:r>
        <w:rPr>
          <w:rFonts w:hint="eastAsia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研发预算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仿宋_GB2312" w:hAnsi="Calibri" w:eastAsia="仿宋_GB2312" w:cs="仿宋_GB2312"/>
          <w:bCs/>
          <w:kern w:val="2"/>
          <w:sz w:val="32"/>
          <w:szCs w:val="32"/>
          <w:lang w:eastAsia="zh-CN" w:bidi="ar"/>
          <w:woUserID w:val="2"/>
        </w:rPr>
      </w:pPr>
      <w:r>
        <w:rPr>
          <w:rFonts w:hint="eastAsia" w:ascii="仿宋_GB2312" w:hAnsi="Calibri" w:eastAsia="仿宋_GB2312" w:cs="仿宋_GB2312"/>
          <w:bCs/>
          <w:kern w:val="2"/>
          <w:sz w:val="32"/>
          <w:szCs w:val="32"/>
          <w:lang w:val="en-US" w:eastAsia="zh-CN" w:bidi="ar"/>
          <w:woUserID w:val="2"/>
        </w:rPr>
        <w:t>2024年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lang w:eastAsia="zh-CN" w:bidi="ar"/>
          <w:woUserID w:val="2"/>
        </w:rPr>
        <w:t>，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eastAsia="zh-CN" w:bidi="ar"/>
          <w:woUserID w:val="1"/>
        </w:rPr>
        <w:t>集团重点强化关键科技攻关，引导科技创新投入。</w:t>
      </w:r>
      <w:r>
        <w:rPr>
          <w:rFonts w:hint="eastAsia" w:ascii="仿宋_GB2312" w:hAnsi="Calibri" w:eastAsia="仿宋_GB2312" w:cs="仿宋_GB2312"/>
          <w:bCs/>
          <w:kern w:val="2"/>
          <w:sz w:val="32"/>
          <w:szCs w:val="32"/>
          <w:lang w:val="en-US" w:eastAsia="zh-CN" w:bidi="ar"/>
          <w:woUserID w:val="1"/>
        </w:rPr>
        <w:t>研发费用预算14.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lang w:eastAsia="zh-CN" w:bidi="ar"/>
          <w:woUserID w:val="1"/>
        </w:rPr>
        <w:t>9</w:t>
      </w:r>
      <w:r>
        <w:rPr>
          <w:rFonts w:hint="eastAsia" w:ascii="仿宋_GB2312" w:hAnsi="Calibri" w:eastAsia="仿宋_GB2312" w:cs="仿宋_GB2312"/>
          <w:bCs/>
          <w:kern w:val="2"/>
          <w:sz w:val="32"/>
          <w:szCs w:val="32"/>
          <w:lang w:val="en-US" w:eastAsia="zh-CN" w:bidi="ar"/>
          <w:woUserID w:val="1"/>
        </w:rPr>
        <w:t>亿元，同比增长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lang w:eastAsia="zh-CN" w:bidi="ar"/>
          <w:woUserID w:val="1"/>
        </w:rPr>
        <w:t>8.7</w:t>
      </w:r>
      <w:r>
        <w:rPr>
          <w:rFonts w:hint="eastAsia" w:ascii="仿宋_GB2312" w:hAnsi="Calibri" w:eastAsia="仿宋_GB2312" w:cs="仿宋_GB2312"/>
          <w:bCs/>
          <w:kern w:val="2"/>
          <w:sz w:val="32"/>
          <w:szCs w:val="32"/>
          <w:lang w:val="en-US" w:eastAsia="zh-CN" w:bidi="ar"/>
          <w:woUserID w:val="1"/>
        </w:rPr>
        <w:t>%；集团有科技创新活动的公司研发投入强度预算7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lang w:eastAsia="zh-CN" w:bidi="ar"/>
          <w:woUserID w:val="1"/>
        </w:rPr>
        <w:t>.2</w:t>
      </w:r>
      <w:r>
        <w:rPr>
          <w:rFonts w:hint="eastAsia" w:ascii="仿宋_GB2312" w:hAnsi="Calibri" w:eastAsia="仿宋_GB2312" w:cs="仿宋_GB2312"/>
          <w:bCs/>
          <w:kern w:val="2"/>
          <w:sz w:val="32"/>
          <w:szCs w:val="32"/>
          <w:lang w:val="en-US" w:eastAsia="zh-CN" w:bidi="ar"/>
          <w:woUserID w:val="1"/>
        </w:rPr>
        <w:t>%，满足年度任务目标（不低于7%）。</w:t>
      </w:r>
    </w:p>
    <w:p>
      <w:pPr>
        <w:pStyle w:val="2"/>
        <w:jc w:val="center"/>
        <w:rPr>
          <w:rFonts w:hint="eastAsia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表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>8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 xml:space="preserve"> 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>研发预算明细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表</w:t>
      </w:r>
    </w:p>
    <w:tbl>
      <w:tblPr>
        <w:tblStyle w:val="12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  <w:gridCol w:w="1350"/>
        <w:gridCol w:w="890"/>
        <w:gridCol w:w="909"/>
        <w:gridCol w:w="705"/>
        <w:gridCol w:w="962"/>
        <w:gridCol w:w="24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tblHeader/>
        </w:trPr>
        <w:tc>
          <w:tcPr>
            <w:tcW w:w="9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color w:val="000000"/>
                <w:kern w:val="2"/>
                <w:sz w:val="20"/>
                <w:szCs w:val="20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业务板块</w:t>
            </w:r>
          </w:p>
        </w:tc>
        <w:tc>
          <w:tcPr>
            <w:tcW w:w="745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2024年预算</w:t>
            </w: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（亿元）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同比</w:t>
            </w:r>
          </w:p>
        </w:tc>
        <w:tc>
          <w:tcPr>
            <w:tcW w:w="501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研发投入强度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研发人员</w:t>
            </w:r>
          </w:p>
        </w:tc>
        <w:tc>
          <w:tcPr>
            <w:tcW w:w="531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研发人员占比</w:t>
            </w:r>
          </w:p>
        </w:tc>
        <w:tc>
          <w:tcPr>
            <w:tcW w:w="1365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研发投入方向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</w:trPr>
        <w:tc>
          <w:tcPr>
            <w:tcW w:w="9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default"/>
                <w:lang w:eastAsia="zh-CN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总部</w:t>
            </w:r>
            <w:r>
              <w:rPr>
                <w:rFonts w:hint="default" w:ascii="仿宋_GB2312" w:hAnsi="Calibri" w:eastAsia="仿宋_GB2312" w:cs="仿宋_GB2312"/>
                <w:bCs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（九洲创智融合）</w:t>
            </w:r>
          </w:p>
        </w:tc>
        <w:tc>
          <w:tcPr>
            <w:tcW w:w="745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0.5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-</w:t>
            </w:r>
          </w:p>
        </w:tc>
        <w:tc>
          <w:tcPr>
            <w:tcW w:w="501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Calibri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-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Calibri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16</w:t>
            </w:r>
          </w:p>
        </w:tc>
        <w:tc>
          <w:tcPr>
            <w:tcW w:w="531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Calibri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-</w:t>
            </w:r>
          </w:p>
        </w:tc>
        <w:tc>
          <w:tcPr>
            <w:tcW w:w="1365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default" w:ascii="仿宋_GB2312" w:hAnsi="Calibri" w:eastAsia="仿宋_GB2312" w:cs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  <w:r>
              <w:rPr>
                <w:rFonts w:hint="default" w:ascii="仿宋_GB2312" w:hAnsi="Times New Roman" w:eastAsia="仿宋_GB2312" w:cs="仿宋_GB2312"/>
                <w:kern w:val="2"/>
                <w:sz w:val="22"/>
                <w:szCs w:val="22"/>
                <w:lang w:val="en-US" w:eastAsia="zh-CN" w:bidi="ar"/>
                <w:woUserID w:val="2"/>
              </w:rPr>
              <w:t>目前，已初步征集射频微波电子技术领域</w:t>
            </w:r>
            <w:r>
              <w:rPr>
                <w:rFonts w:hint="default" w:ascii="仿宋_GB2312" w:hAnsi="Times New Roman" w:eastAsia="仿宋_GB2312" w:cs="仿宋_GB2312"/>
                <w:kern w:val="2"/>
                <w:sz w:val="22"/>
                <w:szCs w:val="22"/>
                <w:lang w:eastAsia="zh-CN" w:bidi="ar"/>
                <w:woUserID w:val="2"/>
              </w:rPr>
              <w:t>、</w:t>
            </w:r>
            <w:r>
              <w:rPr>
                <w:rFonts w:hint="default" w:ascii="仿宋_GB2312" w:hAnsi="Times New Roman" w:eastAsia="仿宋_GB2312" w:cs="仿宋_GB2312"/>
                <w:kern w:val="2"/>
                <w:sz w:val="22"/>
                <w:szCs w:val="22"/>
                <w:lang w:val="en-US" w:eastAsia="zh-CN" w:bidi="ar"/>
                <w:woUserID w:val="2"/>
              </w:rPr>
              <w:t>光电探测技术领域</w:t>
            </w:r>
            <w:r>
              <w:rPr>
                <w:rFonts w:hint="default" w:ascii="仿宋_GB2312" w:hAnsi="Times New Roman" w:eastAsia="仿宋_GB2312" w:cs="仿宋_GB2312"/>
                <w:kern w:val="2"/>
                <w:sz w:val="22"/>
                <w:szCs w:val="22"/>
                <w:lang w:eastAsia="zh-CN" w:bidi="ar"/>
                <w:woUserID w:val="2"/>
              </w:rPr>
              <w:t>、</w:t>
            </w:r>
            <w:r>
              <w:rPr>
                <w:rFonts w:hint="default" w:ascii="仿宋_GB2312" w:hAnsi="Times New Roman" w:eastAsia="仿宋_GB2312" w:cs="仿宋_GB2312"/>
                <w:kern w:val="2"/>
                <w:sz w:val="22"/>
                <w:szCs w:val="22"/>
                <w:lang w:val="en-US" w:eastAsia="zh-CN" w:bidi="ar"/>
                <w:woUserID w:val="2"/>
              </w:rPr>
              <w:t>军事情报大数据技术领域</w:t>
            </w:r>
            <w:r>
              <w:rPr>
                <w:rFonts w:hint="default" w:ascii="仿宋_GB2312" w:hAnsi="Times New Roman" w:eastAsia="仿宋_GB2312" w:cs="仿宋_GB2312"/>
                <w:kern w:val="2"/>
                <w:sz w:val="22"/>
                <w:szCs w:val="22"/>
                <w:lang w:eastAsia="zh-CN" w:bidi="ar"/>
                <w:woUserID w:val="2"/>
              </w:rPr>
              <w:t>、</w:t>
            </w:r>
            <w:r>
              <w:rPr>
                <w:rFonts w:hint="default" w:ascii="仿宋_GB2312" w:hAnsi="Times New Roman" w:eastAsia="仿宋_GB2312" w:cs="仿宋_GB2312"/>
                <w:kern w:val="2"/>
                <w:sz w:val="22"/>
                <w:szCs w:val="22"/>
                <w:lang w:val="en-US" w:eastAsia="zh-CN" w:bidi="ar"/>
                <w:woUserID w:val="2"/>
              </w:rPr>
              <w:t>音视频技术领域</w:t>
            </w:r>
            <w:r>
              <w:rPr>
                <w:rFonts w:hint="default" w:ascii="仿宋_GB2312" w:hAnsi="Times New Roman" w:eastAsia="仿宋_GB2312" w:cs="仿宋_GB2312"/>
                <w:kern w:val="2"/>
                <w:sz w:val="22"/>
                <w:szCs w:val="22"/>
                <w:lang w:eastAsia="zh-CN" w:bidi="ar"/>
                <w:woUserID w:val="2"/>
              </w:rPr>
              <w:t>等项目</w:t>
            </w:r>
            <w:r>
              <w:rPr>
                <w:rFonts w:hint="default" w:ascii="仿宋_GB2312" w:hAnsi="Times New Roman" w:eastAsia="仿宋_GB2312" w:cs="仿宋_GB2312"/>
                <w:kern w:val="2"/>
                <w:sz w:val="22"/>
                <w:szCs w:val="22"/>
                <w:lang w:val="en-US" w:eastAsia="zh-CN" w:bidi="ar"/>
                <w:woUserID w:val="2"/>
              </w:rPr>
              <w:t>。</w:t>
            </w:r>
            <w:r>
              <w:rPr>
                <w:rFonts w:hint="default" w:ascii="仿宋_GB2312" w:hAnsi="Times New Roman" w:eastAsia="仿宋_GB2312" w:cs="仿宋_GB2312"/>
                <w:kern w:val="2"/>
                <w:sz w:val="22"/>
                <w:szCs w:val="22"/>
                <w:lang w:eastAsia="zh-CN" w:bidi="ar"/>
                <w:woUserID w:val="2"/>
              </w:rPr>
              <w:t>后续将</w:t>
            </w:r>
            <w:r>
              <w:rPr>
                <w:rFonts w:hint="default" w:ascii="仿宋_GB2312" w:hAnsi="Times New Roman" w:eastAsia="仿宋_GB2312" w:cs="仿宋_GB2312"/>
                <w:kern w:val="2"/>
                <w:sz w:val="22"/>
                <w:szCs w:val="22"/>
                <w:lang w:val="en-US" w:eastAsia="zh-CN" w:bidi="ar"/>
                <w:woUserID w:val="2"/>
              </w:rPr>
              <w:t>对项目进行筛选整合报产品与技术委员会决策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97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default" w:ascii="仿宋_GB2312" w:eastAsia="仿宋_GB2312" w:cs="仿宋_GB2312"/>
                <w:bCs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军工电子</w:t>
            </w:r>
          </w:p>
        </w:tc>
        <w:tc>
          <w:tcPr>
            <w:tcW w:w="745" w:type="pc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8.1 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-1.6%</w:t>
            </w:r>
          </w:p>
        </w:tc>
        <w:tc>
          <w:tcPr>
            <w:tcW w:w="501" w:type="pc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10.1% 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18</w:t>
            </w: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07</w:t>
            </w:r>
          </w:p>
        </w:tc>
        <w:tc>
          <w:tcPr>
            <w:tcW w:w="531" w:type="pc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39.9</w:t>
            </w: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%</w:t>
            </w:r>
          </w:p>
        </w:tc>
        <w:tc>
          <w:tcPr>
            <w:tcW w:w="1365" w:type="pc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某识别、光电探测、电子对抗、通信、低空超低空探测雷达、智能化指控系统、射频模组、北斗三号相关装备开发，海洋ZB、弹载、指控等新领域技术拓展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default" w:ascii="仿宋_GB2312" w:eastAsia="仿宋_GB2312" w:cs="仿宋_GB2312"/>
                <w:bCs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通信与智能终端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2.2</w:t>
            </w:r>
          </w:p>
        </w:tc>
        <w:tc>
          <w:tcPr>
            <w:tcW w:w="491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24%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4.7%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  <w:t>578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1</w:t>
            </w: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4.7</w:t>
            </w: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%</w:t>
            </w:r>
          </w:p>
        </w:tc>
        <w:tc>
          <w:tcPr>
            <w:tcW w:w="1365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智能终端、会议系统、扩音系统、广播系统、显示屏、装备照明、智慧健康照明产品开发，车载、数字能源等新领域技术储备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default" w:ascii="仿宋_GB2312" w:eastAsia="仿宋_GB2312" w:cs="仿宋_GB2312"/>
                <w:bCs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软件与数据智能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  <w:woUserID w:val="2"/>
              </w:rPr>
              <w:t>0.8</w:t>
            </w:r>
          </w:p>
        </w:tc>
        <w:tc>
          <w:tcPr>
            <w:tcW w:w="491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highlight w:val="none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highlight w:val="none"/>
                <w:lang w:eastAsia="zh-CN" w:bidi="ar"/>
                <w:woUserID w:val="2"/>
              </w:rPr>
              <w:t>-11.6%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highlight w:val="none"/>
                <w:lang w:eastAsia="zh-CN" w:bidi="ar"/>
                <w:woUserID w:val="2"/>
              </w:rPr>
              <w:t>3.6</w:t>
            </w: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  <w:woUserID w:val="2"/>
              </w:rPr>
              <w:t>%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  <w:woUserID w:val="2"/>
              </w:rPr>
              <w:t>3</w:t>
            </w: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highlight w:val="none"/>
                <w:lang w:eastAsia="zh-CN" w:bidi="ar"/>
                <w:woUserID w:val="2"/>
              </w:rPr>
              <w:t>62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highlight w:val="none"/>
                <w:lang w:eastAsia="zh-CN" w:bidi="ar"/>
                <w:woUserID w:val="2"/>
              </w:rPr>
              <w:t>29.8</w:t>
            </w: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  <w:woUserID w:val="2"/>
              </w:rPr>
              <w:t>%</w:t>
            </w:r>
          </w:p>
        </w:tc>
        <w:tc>
          <w:tcPr>
            <w:tcW w:w="1365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数据融合分析、智能感知与识别、态势数字孪生、安全信创、水利监测、智慧应急等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pc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default" w:ascii="仿宋_GB2312" w:eastAsia="仿宋_GB2312" w:cs="仿宋_GB2312"/>
                <w:bCs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高端元器件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3</w:t>
            </w:r>
          </w:p>
        </w:tc>
        <w:tc>
          <w:tcPr>
            <w:tcW w:w="491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15.6%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3.2%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  <w:t>1014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10.3</w:t>
            </w: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%</w:t>
            </w:r>
          </w:p>
        </w:tc>
        <w:tc>
          <w:tcPr>
            <w:tcW w:w="1365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微特电机、振动电机、传动模组、光器件、光模块、高频高速PCB板、高多层PCB板、特种电缆等产品开发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7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default" w:ascii="仿宋_GB2312" w:eastAsia="仿宋_GB2312" w:cs="仿宋_GB2312"/>
                <w:bCs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汽车电子与设备</w:t>
            </w:r>
          </w:p>
        </w:tc>
        <w:tc>
          <w:tcPr>
            <w:tcW w:w="7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0.1</w:t>
            </w:r>
          </w:p>
        </w:tc>
        <w:tc>
          <w:tcPr>
            <w:tcW w:w="4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44.8%</w:t>
            </w:r>
          </w:p>
        </w:tc>
        <w:tc>
          <w:tcPr>
            <w:tcW w:w="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6.2%</w:t>
            </w:r>
          </w:p>
        </w:tc>
        <w:tc>
          <w:tcPr>
            <w:tcW w:w="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  <w:t>38</w:t>
            </w: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39.2</w:t>
            </w: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%</w:t>
            </w:r>
          </w:p>
        </w:tc>
        <w:tc>
          <w:tcPr>
            <w:tcW w:w="13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新能源电池管理系统、智能座舱等产品开发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default" w:ascii="仿宋_GB2312" w:hAnsi="Calibri" w:eastAsia="仿宋_GB2312" w:cs="仿宋_GB2312"/>
                <w:bCs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Cs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default" w:ascii="仿宋_GB2312" w:hAnsi="Calibri" w:eastAsia="仿宋_GB2312" w:cs="仿宋_GB2312"/>
                <w:bCs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Cs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（九洲智和、九洲环保）</w:t>
            </w:r>
          </w:p>
        </w:tc>
        <w:tc>
          <w:tcPr>
            <w:tcW w:w="7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0.1</w:t>
            </w:r>
          </w:p>
        </w:tc>
        <w:tc>
          <w:tcPr>
            <w:tcW w:w="4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-2.4%</w:t>
            </w:r>
          </w:p>
        </w:tc>
        <w:tc>
          <w:tcPr>
            <w:tcW w:w="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2.6%</w:t>
            </w:r>
          </w:p>
        </w:tc>
        <w:tc>
          <w:tcPr>
            <w:tcW w:w="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  <w:t>21</w:t>
            </w: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12.7%</w:t>
            </w:r>
          </w:p>
        </w:tc>
        <w:tc>
          <w:tcPr>
            <w:tcW w:w="13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default" w:ascii="仿宋_GB2312" w:hAnsi="Calibri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default" w:ascii="仿宋_GB2312" w:hAnsi="等线" w:eastAsia="仿宋_GB2312" w:cs="仿宋_GB2312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电子纸显示技术</w:t>
            </w:r>
            <w:r>
              <w:rPr>
                <w:rFonts w:hint="default" w:ascii="仿宋_GB2312" w:hAnsi="等线" w:eastAsia="仿宋_GB2312" w:cs="仿宋_GB2312"/>
                <w:color w:val="000000"/>
                <w:kern w:val="2"/>
                <w:sz w:val="22"/>
                <w:szCs w:val="22"/>
                <w:lang w:eastAsia="zh-CN" w:bidi="ar"/>
                <w:woUserID w:val="2"/>
              </w:rPr>
              <w:t>、</w:t>
            </w:r>
            <w:r>
              <w:rPr>
                <w:rFonts w:hint="default" w:ascii="仿宋_GB2312" w:hAnsi="等线" w:eastAsia="仿宋_GB2312" w:cs="仿宋_GB2312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再生水回用焚烧炉及废水处理能力提升研究</w:t>
            </w:r>
            <w:r>
              <w:rPr>
                <w:rFonts w:hint="default" w:ascii="仿宋_GB2312" w:hAnsi="等线" w:eastAsia="仿宋_GB2312" w:cs="仿宋_GB2312"/>
                <w:color w:val="000000"/>
                <w:kern w:val="2"/>
                <w:sz w:val="22"/>
                <w:szCs w:val="22"/>
                <w:lang w:eastAsia="zh-CN" w:bidi="ar"/>
                <w:woUserID w:val="2"/>
              </w:rPr>
              <w:t>，</w:t>
            </w:r>
            <w:r>
              <w:rPr>
                <w:rFonts w:hint="default" w:ascii="仿宋_GB2312" w:hAnsi="等线" w:eastAsia="仿宋_GB2312" w:cs="仿宋_GB2312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润滑油</w:t>
            </w:r>
            <w:r>
              <w:rPr>
                <w:rFonts w:hint="default" w:ascii="仿宋_GB2312" w:hAnsi="等线" w:eastAsia="仿宋_GB2312" w:cs="仿宋_GB2312"/>
                <w:color w:val="000000"/>
                <w:kern w:val="2"/>
                <w:sz w:val="22"/>
                <w:szCs w:val="22"/>
                <w:lang w:eastAsia="zh-CN" w:bidi="ar"/>
                <w:woUserID w:val="2"/>
              </w:rPr>
              <w:t>等</w:t>
            </w:r>
            <w:r>
              <w:rPr>
                <w:rFonts w:hint="default" w:ascii="仿宋_GB2312" w:hAnsi="等线" w:eastAsia="仿宋_GB2312" w:cs="仿宋_GB2312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产品</w:t>
            </w:r>
            <w:r>
              <w:rPr>
                <w:rFonts w:hint="default" w:ascii="仿宋_GB2312" w:hAnsi="等线" w:eastAsia="仿宋_GB2312" w:cs="仿宋_GB2312"/>
                <w:color w:val="000000"/>
                <w:kern w:val="2"/>
                <w:sz w:val="22"/>
                <w:szCs w:val="22"/>
                <w:lang w:eastAsia="zh-CN" w:bidi="ar"/>
                <w:woUserID w:val="2"/>
              </w:rPr>
              <w:t>研发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1" w:firstLineChars="200"/>
        <w:jc w:val="both"/>
        <w:rPr>
          <w:rFonts w:hint="eastAsia" w:ascii="仿宋_GB2312" w:hAnsi="Calibri" w:eastAsia="仿宋_GB2312" w:cs="仿宋_GB2312"/>
          <w:b/>
          <w:bCs w:val="0"/>
          <w:kern w:val="2"/>
          <w:sz w:val="32"/>
          <w:szCs w:val="32"/>
          <w:lang w:val="en-US" w:eastAsia="zh-CN" w:bidi="ar"/>
          <w:woUserID w:val="2"/>
        </w:rPr>
      </w:pPr>
      <w:r>
        <w:rPr>
          <w:rFonts w:hint="default" w:ascii="仿宋_GB2312" w:hAnsi="Calibri" w:eastAsia="仿宋_GB2312" w:cs="仿宋_GB2312"/>
          <w:b/>
          <w:bCs w:val="0"/>
          <w:kern w:val="2"/>
          <w:sz w:val="32"/>
          <w:szCs w:val="32"/>
          <w:lang w:eastAsia="zh-CN" w:bidi="ar"/>
          <w:woUserID w:val="1"/>
        </w:rPr>
        <w:t>3</w:t>
      </w:r>
      <w:r>
        <w:rPr>
          <w:rFonts w:hint="default" w:ascii="仿宋_GB2312" w:hAnsi="Calibri" w:eastAsia="仿宋_GB2312" w:cs="仿宋_GB2312"/>
          <w:b/>
          <w:bCs w:val="0"/>
          <w:kern w:val="2"/>
          <w:sz w:val="32"/>
          <w:szCs w:val="32"/>
          <w:lang w:eastAsia="zh-CN" w:bidi="ar"/>
          <w:woUserID w:val="2"/>
        </w:rPr>
        <w:t>.</w:t>
      </w:r>
      <w:r>
        <w:rPr>
          <w:rFonts w:hint="eastAsia" w:ascii="仿宋_GB2312" w:hAnsi="Calibri" w:eastAsia="仿宋_GB2312" w:cs="仿宋_GB2312"/>
          <w:b/>
          <w:bCs w:val="0"/>
          <w:kern w:val="2"/>
          <w:sz w:val="32"/>
          <w:szCs w:val="32"/>
          <w:lang w:val="en-US" w:eastAsia="zh-CN" w:bidi="ar"/>
          <w:woUserID w:val="2"/>
        </w:rPr>
        <w:t>人力资源预算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hAnsi="Calibri" w:eastAsia="仿宋_GB2312" w:cs="仿宋_GB2312"/>
          <w:bCs/>
          <w:kern w:val="2"/>
          <w:sz w:val="32"/>
          <w:szCs w:val="32"/>
          <w:lang w:val="en-US" w:eastAsia="zh-CN" w:bidi="ar"/>
          <w:woUserID w:val="2"/>
        </w:rPr>
      </w:pP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highlight w:val="none"/>
          <w:lang w:val="en-US" w:eastAsia="zh-CN" w:bidi="ar"/>
          <w:woUserID w:val="1"/>
        </w:rPr>
        <w:t>2024年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highlight w:val="none"/>
          <w:lang w:eastAsia="zh-CN" w:bidi="ar"/>
          <w:woUserID w:val="1"/>
        </w:rPr>
        <w:t>，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highlight w:val="none"/>
          <w:lang w:val="en-US" w:eastAsia="zh-CN" w:bidi="ar"/>
          <w:woUserID w:val="1"/>
        </w:rPr>
        <w:t>集团人数预算26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highlight w:val="none"/>
          <w:lang w:eastAsia="zh-CN" w:bidi="ar"/>
          <w:woUserID w:val="1"/>
        </w:rPr>
        <w:t>211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highlight w:val="none"/>
          <w:lang w:val="en-US" w:eastAsia="zh-CN" w:bidi="ar"/>
          <w:woUserID w:val="1"/>
        </w:rPr>
        <w:t>人，同比增长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highlight w:val="none"/>
          <w:lang w:eastAsia="zh-CN" w:bidi="ar"/>
          <w:woUserID w:val="1"/>
        </w:rPr>
        <w:t>17.5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highlight w:val="none"/>
          <w:lang w:val="en-US" w:eastAsia="zh-CN" w:bidi="ar"/>
          <w:woUserID w:val="1"/>
        </w:rPr>
        <w:t>%；人工成本预算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highlight w:val="none"/>
          <w:lang w:eastAsia="zh-CN" w:bidi="ar"/>
          <w:woUserID w:val="1"/>
        </w:rPr>
        <w:t>37.6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highlight w:val="none"/>
          <w:lang w:val="en-US" w:eastAsia="zh-CN" w:bidi="ar"/>
          <w:woUserID w:val="1"/>
        </w:rPr>
        <w:t>亿元，同比增长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highlight w:val="none"/>
          <w:lang w:eastAsia="zh-CN" w:bidi="ar"/>
          <w:woUserID w:val="1"/>
        </w:rPr>
        <w:t>15.3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highlight w:val="none"/>
          <w:lang w:val="en-US" w:eastAsia="zh-CN" w:bidi="ar"/>
          <w:woUserID w:val="1"/>
        </w:rPr>
        <w:t>%；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highlight w:val="none"/>
          <w:lang w:eastAsia="zh-CN" w:bidi="ar"/>
          <w:woUserID w:val="1"/>
        </w:rPr>
        <w:t>人均人工成本预算14.4万元，同比下降2.0%。</w:t>
      </w:r>
    </w:p>
    <w:p>
      <w:pPr>
        <w:pStyle w:val="2"/>
        <w:jc w:val="center"/>
        <w:rPr>
          <w:rFonts w:hint="eastAsia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表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>9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 xml:space="preserve"> 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>人力资源预算明细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表</w:t>
      </w:r>
    </w:p>
    <w:tbl>
      <w:tblPr>
        <w:tblStyle w:val="12"/>
        <w:tblW w:w="5020" w:type="pct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3"/>
        <w:gridCol w:w="1356"/>
        <w:gridCol w:w="835"/>
        <w:gridCol w:w="1383"/>
        <w:gridCol w:w="876"/>
        <w:gridCol w:w="1472"/>
        <w:gridCol w:w="10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right"/>
        </w:trPr>
        <w:tc>
          <w:tcPr>
            <w:tcW w:w="118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业务板块</w:t>
            </w:r>
          </w:p>
        </w:tc>
        <w:tc>
          <w:tcPr>
            <w:tcW w:w="1204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人数</w:t>
            </w:r>
          </w:p>
        </w:tc>
        <w:tc>
          <w:tcPr>
            <w:tcW w:w="1241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人工成本</w:t>
            </w:r>
            <w:r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（亿元）</w:t>
            </w:r>
          </w:p>
        </w:tc>
        <w:tc>
          <w:tcPr>
            <w:tcW w:w="1371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人均人工成本</w:t>
            </w:r>
            <w:r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(万元/人)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right"/>
        </w:trPr>
        <w:tc>
          <w:tcPr>
            <w:tcW w:w="11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woUserID w:val="2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2024年预算</w:t>
            </w:r>
          </w:p>
        </w:tc>
        <w:tc>
          <w:tcPr>
            <w:tcW w:w="45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同比</w:t>
            </w:r>
          </w:p>
        </w:tc>
        <w:tc>
          <w:tcPr>
            <w:tcW w:w="76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2024年预算</w:t>
            </w:r>
          </w:p>
        </w:tc>
        <w:tc>
          <w:tcPr>
            <w:tcW w:w="481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同比</w:t>
            </w:r>
          </w:p>
        </w:tc>
        <w:tc>
          <w:tcPr>
            <w:tcW w:w="80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2024年预算</w:t>
            </w:r>
          </w:p>
        </w:tc>
        <w:tc>
          <w:tcPr>
            <w:tcW w:w="56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同比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right"/>
        </w:trPr>
        <w:tc>
          <w:tcPr>
            <w:tcW w:w="118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军工电子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4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749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 </w:t>
            </w:r>
          </w:p>
        </w:tc>
        <w:tc>
          <w:tcPr>
            <w:tcW w:w="45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9.8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%</w:t>
            </w:r>
          </w:p>
        </w:tc>
        <w:tc>
          <w:tcPr>
            <w:tcW w:w="76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  <w:t>11.59</w:t>
            </w:r>
          </w:p>
        </w:tc>
        <w:tc>
          <w:tcPr>
            <w:tcW w:w="481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2.6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%</w:t>
            </w:r>
          </w:p>
        </w:tc>
        <w:tc>
          <w:tcPr>
            <w:tcW w:w="80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  <w:t>24.4</w:t>
            </w:r>
          </w:p>
        </w:tc>
        <w:tc>
          <w:tcPr>
            <w:tcW w:w="56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-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6.5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right"/>
        </w:trPr>
        <w:tc>
          <w:tcPr>
            <w:tcW w:w="118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通信与智能终端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6260 </w:t>
            </w:r>
          </w:p>
        </w:tc>
        <w:tc>
          <w:tcPr>
            <w:tcW w:w="45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32.5%</w:t>
            </w:r>
          </w:p>
        </w:tc>
        <w:tc>
          <w:tcPr>
            <w:tcW w:w="76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7.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38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 </w:t>
            </w:r>
          </w:p>
        </w:tc>
        <w:tc>
          <w:tcPr>
            <w:tcW w:w="481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3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9.8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%</w:t>
            </w:r>
          </w:p>
        </w:tc>
        <w:tc>
          <w:tcPr>
            <w:tcW w:w="80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11.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79</w:t>
            </w:r>
          </w:p>
        </w:tc>
        <w:tc>
          <w:tcPr>
            <w:tcW w:w="56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5.5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right"/>
        </w:trPr>
        <w:tc>
          <w:tcPr>
            <w:tcW w:w="118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软件与数据智能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1228 </w:t>
            </w:r>
          </w:p>
        </w:tc>
        <w:tc>
          <w:tcPr>
            <w:tcW w:w="45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32.6%</w:t>
            </w:r>
          </w:p>
        </w:tc>
        <w:tc>
          <w:tcPr>
            <w:tcW w:w="76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2.41 </w:t>
            </w:r>
          </w:p>
        </w:tc>
        <w:tc>
          <w:tcPr>
            <w:tcW w:w="481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45.8%</w:t>
            </w:r>
          </w:p>
        </w:tc>
        <w:tc>
          <w:tcPr>
            <w:tcW w:w="80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19.63</w:t>
            </w:r>
          </w:p>
        </w:tc>
        <w:tc>
          <w:tcPr>
            <w:tcW w:w="56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9.9%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right"/>
        </w:trPr>
        <w:tc>
          <w:tcPr>
            <w:tcW w:w="118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高端元器件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  <w:woUserID w:val="2"/>
              </w:rPr>
              <w:t>10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eastAsia="zh-CN" w:bidi="ar"/>
                <w:woUserID w:val="2"/>
              </w:rPr>
              <w:t>547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  <w:woUserID w:val="2"/>
              </w:rPr>
              <w:t xml:space="preserve"> </w:t>
            </w:r>
          </w:p>
        </w:tc>
        <w:tc>
          <w:tcPr>
            <w:tcW w:w="45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eastAsia="zh-CN" w:bidi="ar"/>
                <w:woUserID w:val="2"/>
              </w:rPr>
              <w:t>14.7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  <w:woUserID w:val="2"/>
              </w:rPr>
              <w:t>%</w:t>
            </w:r>
          </w:p>
        </w:tc>
        <w:tc>
          <w:tcPr>
            <w:tcW w:w="76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  <w:woUserID w:val="2"/>
              </w:rPr>
              <w:t>11.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eastAsia="zh-CN" w:bidi="ar"/>
                <w:woUserID w:val="2"/>
              </w:rPr>
              <w:t>43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  <w:woUserID w:val="2"/>
              </w:rPr>
              <w:t xml:space="preserve"> </w:t>
            </w:r>
          </w:p>
        </w:tc>
        <w:tc>
          <w:tcPr>
            <w:tcW w:w="481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  <w:woUserID w:val="2"/>
              </w:rPr>
              <w:t>1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eastAsia="zh-CN" w:bidi="ar"/>
                <w:woUserID w:val="2"/>
              </w:rPr>
              <w:t>4.7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  <w:woUserID w:val="2"/>
              </w:rPr>
              <w:t>%</w:t>
            </w:r>
          </w:p>
        </w:tc>
        <w:tc>
          <w:tcPr>
            <w:tcW w:w="80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woUserID w:val="2"/>
              </w:rPr>
              <w:t>10.83</w:t>
            </w:r>
          </w:p>
        </w:tc>
        <w:tc>
          <w:tcPr>
            <w:tcW w:w="56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eastAsia="zh-CN" w:bidi="ar"/>
                <w:woUserID w:val="2"/>
              </w:rPr>
              <w:t>0.0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  <w:woUserID w:val="2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right"/>
        </w:trPr>
        <w:tc>
          <w:tcPr>
            <w:tcW w:w="118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汽车电子与设备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139 </w:t>
            </w:r>
          </w:p>
        </w:tc>
        <w:tc>
          <w:tcPr>
            <w:tcW w:w="45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44.8%</w:t>
            </w:r>
          </w:p>
        </w:tc>
        <w:tc>
          <w:tcPr>
            <w:tcW w:w="76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0.22 </w:t>
            </w:r>
          </w:p>
        </w:tc>
        <w:tc>
          <w:tcPr>
            <w:tcW w:w="481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49.6%</w:t>
            </w:r>
          </w:p>
        </w:tc>
        <w:tc>
          <w:tcPr>
            <w:tcW w:w="80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15.93</w:t>
            </w:r>
          </w:p>
        </w:tc>
        <w:tc>
          <w:tcPr>
            <w:tcW w:w="56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3.3%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right"/>
        </w:trPr>
        <w:tc>
          <w:tcPr>
            <w:tcW w:w="118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default" w:ascii="仿宋_GB2312" w:hAnsi="仿宋_GB2312" w:eastAsia="仿宋_GB2312" w:cs="仿宋_GB2312"/>
                <w:bCs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bCs/>
                <w:color w:val="000000"/>
                <w:kern w:val="0"/>
                <w:sz w:val="22"/>
                <w:szCs w:val="22"/>
                <w:woUserID w:val="2"/>
              </w:rPr>
              <w:t>其他业务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705 </w:t>
            </w:r>
          </w:p>
        </w:tc>
        <w:tc>
          <w:tcPr>
            <w:tcW w:w="45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3.5%</w:t>
            </w:r>
          </w:p>
        </w:tc>
        <w:tc>
          <w:tcPr>
            <w:tcW w:w="76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1.33 </w:t>
            </w:r>
          </w:p>
        </w:tc>
        <w:tc>
          <w:tcPr>
            <w:tcW w:w="481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9.0%</w:t>
            </w:r>
          </w:p>
        </w:tc>
        <w:tc>
          <w:tcPr>
            <w:tcW w:w="80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18.83</w:t>
            </w:r>
          </w:p>
        </w:tc>
        <w:tc>
          <w:tcPr>
            <w:tcW w:w="56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5.3%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right"/>
        </w:trPr>
        <w:tc>
          <w:tcPr>
            <w:tcW w:w="118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职能型业务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19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19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 </w:t>
            </w:r>
          </w:p>
        </w:tc>
        <w:tc>
          <w:tcPr>
            <w:tcW w:w="45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1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6.7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%</w:t>
            </w:r>
          </w:p>
        </w:tc>
        <w:tc>
          <w:tcPr>
            <w:tcW w:w="76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  <w:t>1.54</w:t>
            </w:r>
          </w:p>
        </w:tc>
        <w:tc>
          <w:tcPr>
            <w:tcW w:w="481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  <w:t>4.7%</w:t>
            </w:r>
          </w:p>
        </w:tc>
        <w:tc>
          <w:tcPr>
            <w:tcW w:w="80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  <w:t>8.02</w:t>
            </w:r>
          </w:p>
        </w:tc>
        <w:tc>
          <w:tcPr>
            <w:tcW w:w="56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-10.3%</w:t>
            </w:r>
          </w:p>
        </w:tc>
      </w:tr>
    </w:tbl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/>
        <w:jc w:val="both"/>
        <w:rPr>
          <w:rFonts w:hint="eastAsia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1"/>
        </w:rPr>
        <w:t>4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>.</w:t>
      </w:r>
      <w:r>
        <w:rPr>
          <w:rFonts w:hint="eastAsia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股权投资预算</w:t>
      </w:r>
    </w:p>
    <w:p>
      <w:pPr>
        <w:pStyle w:val="2"/>
        <w:spacing w:line="560" w:lineRule="exact"/>
        <w:ind w:left="0" w:leftChars="0" w:firstLine="0" w:firstLineChars="0"/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 xml:space="preserve">    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2024年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>，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  <w:woUserID w:val="1"/>
        </w:rPr>
        <w:t>集团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>强化主业投资，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  <w:woUserID w:val="1"/>
        </w:rPr>
        <w:t>股权投资预算资金支出预算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>45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  <w:woUserID w:val="1"/>
        </w:rPr>
        <w:t>.34亿元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>，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  <w:woUserID w:val="1"/>
        </w:rPr>
        <w:t>项目共31项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1"/>
        </w:rPr>
        <w:t>。其中，总部预算37.3亿元、军工电子预算2.53亿元，通信与智能终端0.46亿元，高端元器件3.24亿元。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default"/>
          <w:woUserID w:val="2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表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>10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 xml:space="preserve"> 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>股权投资预算明细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表</w:t>
      </w:r>
      <w:r>
        <w:rPr>
          <w:rFonts w:hint="default" w:ascii="仿宋_GB2312" w:hAnsi="Calibri" w:eastAsia="仿宋_GB2312" w:cs="仿宋_GB2312"/>
          <w:b w:val="0"/>
          <w:bCs/>
          <w:kern w:val="2"/>
          <w:sz w:val="24"/>
          <w:szCs w:val="24"/>
          <w:lang w:val="en-US" w:eastAsia="zh-CN" w:bidi="ar"/>
          <w:woUserID w:val="2"/>
        </w:rPr>
        <w:t>（单位：亿元）</w:t>
      </w:r>
    </w:p>
    <w:tbl>
      <w:tblPr>
        <w:tblStyle w:val="12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1346"/>
        <w:gridCol w:w="913"/>
        <w:gridCol w:w="1272"/>
        <w:gridCol w:w="1373"/>
        <w:gridCol w:w="34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tblHeader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序号</w:t>
            </w:r>
          </w:p>
        </w:tc>
        <w:tc>
          <w:tcPr>
            <w:tcW w:w="74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业务板块</w:t>
            </w:r>
          </w:p>
        </w:tc>
        <w:tc>
          <w:tcPr>
            <w:tcW w:w="50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2024年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项目数</w:t>
            </w:r>
          </w:p>
        </w:tc>
        <w:tc>
          <w:tcPr>
            <w:tcW w:w="70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2023年资金支付</w:t>
            </w:r>
          </w:p>
        </w:tc>
        <w:tc>
          <w:tcPr>
            <w:tcW w:w="7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2024年资金支付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预算</w:t>
            </w:r>
          </w:p>
        </w:tc>
        <w:tc>
          <w:tcPr>
            <w:tcW w:w="189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重点项目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1</w:t>
            </w:r>
          </w:p>
        </w:tc>
        <w:tc>
          <w:tcPr>
            <w:tcW w:w="74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总部</w:t>
            </w:r>
          </w:p>
        </w:tc>
        <w:tc>
          <w:tcPr>
            <w:tcW w:w="50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14</w:t>
            </w:r>
          </w:p>
        </w:tc>
        <w:tc>
          <w:tcPr>
            <w:tcW w:w="70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  <w:t>3.83</w:t>
            </w:r>
          </w:p>
        </w:tc>
        <w:tc>
          <w:tcPr>
            <w:tcW w:w="7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37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.3</w:t>
            </w:r>
          </w:p>
        </w:tc>
        <w:tc>
          <w:tcPr>
            <w:tcW w:w="189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增资九洲电器、增资九洲线缆、设立重庆九洲智造、收购射频器件类公司控股权等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2</w:t>
            </w:r>
          </w:p>
        </w:tc>
        <w:tc>
          <w:tcPr>
            <w:tcW w:w="74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军工电子</w:t>
            </w:r>
          </w:p>
        </w:tc>
        <w:tc>
          <w:tcPr>
            <w:tcW w:w="50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2</w:t>
            </w:r>
          </w:p>
        </w:tc>
        <w:tc>
          <w:tcPr>
            <w:tcW w:w="70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  <w:t>0.43</w:t>
            </w:r>
          </w:p>
        </w:tc>
        <w:tc>
          <w:tcPr>
            <w:tcW w:w="7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2.53</w:t>
            </w:r>
          </w:p>
        </w:tc>
        <w:tc>
          <w:tcPr>
            <w:tcW w:w="189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空管系统研发能力增强及相关新业务领域拓展投资并购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3</w:t>
            </w:r>
          </w:p>
        </w:tc>
        <w:tc>
          <w:tcPr>
            <w:tcW w:w="74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通信与智能终端</w:t>
            </w:r>
          </w:p>
        </w:tc>
        <w:tc>
          <w:tcPr>
            <w:tcW w:w="50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1</w:t>
            </w:r>
          </w:p>
        </w:tc>
        <w:tc>
          <w:tcPr>
            <w:tcW w:w="70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  <w:t>0</w:t>
            </w:r>
          </w:p>
        </w:tc>
        <w:tc>
          <w:tcPr>
            <w:tcW w:w="7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0.46</w:t>
            </w:r>
          </w:p>
        </w:tc>
        <w:tc>
          <w:tcPr>
            <w:tcW w:w="189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深圳九洲电器出资君信基金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4</w:t>
            </w:r>
          </w:p>
        </w:tc>
        <w:tc>
          <w:tcPr>
            <w:tcW w:w="74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高端元器件</w:t>
            </w:r>
          </w:p>
        </w:tc>
        <w:tc>
          <w:tcPr>
            <w:tcW w:w="50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3</w:t>
            </w:r>
          </w:p>
        </w:tc>
        <w:tc>
          <w:tcPr>
            <w:tcW w:w="70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  <w:t>0.78</w:t>
            </w:r>
          </w:p>
        </w:tc>
        <w:tc>
          <w:tcPr>
            <w:tcW w:w="7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3.24</w:t>
            </w:r>
          </w:p>
        </w:tc>
        <w:tc>
          <w:tcPr>
            <w:tcW w:w="189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九洲线缆收购江苏东强、依顿电子海外建厂等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5</w:t>
            </w:r>
          </w:p>
        </w:tc>
        <w:tc>
          <w:tcPr>
            <w:tcW w:w="74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其他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业务</w:t>
            </w:r>
          </w:p>
        </w:tc>
        <w:tc>
          <w:tcPr>
            <w:tcW w:w="50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3</w:t>
            </w:r>
          </w:p>
        </w:tc>
        <w:tc>
          <w:tcPr>
            <w:tcW w:w="70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  <w:t>0.19</w:t>
            </w:r>
          </w:p>
        </w:tc>
        <w:tc>
          <w:tcPr>
            <w:tcW w:w="7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0.1</w:t>
            </w:r>
          </w:p>
        </w:tc>
        <w:tc>
          <w:tcPr>
            <w:tcW w:w="189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九洲聚力收购聚鑫泰、中油北斗收购绵阳云捷科技等存量项目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6</w:t>
            </w:r>
          </w:p>
        </w:tc>
        <w:tc>
          <w:tcPr>
            <w:tcW w:w="74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职能型公司</w:t>
            </w:r>
          </w:p>
        </w:tc>
        <w:tc>
          <w:tcPr>
            <w:tcW w:w="50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5</w:t>
            </w:r>
          </w:p>
        </w:tc>
        <w:tc>
          <w:tcPr>
            <w:tcW w:w="70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  <w:t>0.03</w:t>
            </w:r>
          </w:p>
        </w:tc>
        <w:tc>
          <w:tcPr>
            <w:tcW w:w="7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0.9</w:t>
            </w:r>
          </w:p>
        </w:tc>
        <w:tc>
          <w:tcPr>
            <w:tcW w:w="189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九洲创投出资母基金、君信基金等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7</w:t>
            </w:r>
          </w:p>
        </w:tc>
        <w:tc>
          <w:tcPr>
            <w:tcW w:w="74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其他</w:t>
            </w:r>
          </w:p>
        </w:tc>
        <w:tc>
          <w:tcPr>
            <w:tcW w:w="50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3</w:t>
            </w:r>
          </w:p>
        </w:tc>
        <w:tc>
          <w:tcPr>
            <w:tcW w:w="70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  <w:t>0</w:t>
            </w:r>
          </w:p>
        </w:tc>
        <w:tc>
          <w:tcPr>
            <w:tcW w:w="7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0.81</w:t>
            </w:r>
          </w:p>
        </w:tc>
        <w:tc>
          <w:tcPr>
            <w:tcW w:w="189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四川九洲收购迪飞小股东股权等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合  计</w:t>
            </w:r>
          </w:p>
        </w:tc>
        <w:tc>
          <w:tcPr>
            <w:tcW w:w="50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31</w:t>
            </w:r>
          </w:p>
        </w:tc>
        <w:tc>
          <w:tcPr>
            <w:tcW w:w="70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  <w:t>5.26</w:t>
            </w:r>
          </w:p>
        </w:tc>
        <w:tc>
          <w:tcPr>
            <w:tcW w:w="7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  <w:t>45.34</w:t>
            </w:r>
          </w:p>
        </w:tc>
        <w:tc>
          <w:tcPr>
            <w:tcW w:w="189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-</w:t>
            </w:r>
          </w:p>
        </w:tc>
      </w:tr>
    </w:tbl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1" w:firstLineChars="200"/>
        <w:jc w:val="both"/>
        <w:textAlignment w:val="auto"/>
        <w:rPr>
          <w:rFonts w:hint="eastAsia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>4.</w:t>
      </w:r>
      <w:r>
        <w:rPr>
          <w:rFonts w:hint="eastAsia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能力建设投资预算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</w:pP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eastAsia="zh-CN" w:bidi="ar"/>
          <w:woUserID w:val="1"/>
        </w:rPr>
        <w:t>为重点支撑五大领军型产业集群能力提升，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  <w:woUserID w:val="1"/>
        </w:rPr>
        <w:t>2</w:t>
      </w:r>
      <w:r>
        <w:rPr>
          <w:rFonts w:hint="eastAsia" w:ascii="仿宋_GB2312" w:hAnsi="Calibri" w:eastAsia="仿宋_GB2312" w:cs="仿宋_GB2312"/>
          <w:b w:val="0"/>
          <w:bCs w:val="0"/>
          <w:kern w:val="2"/>
          <w:sz w:val="32"/>
          <w:szCs w:val="32"/>
          <w:lang w:val="en-US" w:eastAsia="zh-CN" w:bidi="ar"/>
          <w:woUserID w:val="1"/>
        </w:rPr>
        <w:t>024年集团能力建设项</w:t>
      </w:r>
      <w:r>
        <w:rPr>
          <w:rFonts w:hint="eastAsia" w:ascii="仿宋_GB2312" w:hAnsi="Calibri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  <w:woUserID w:val="1"/>
        </w:rPr>
        <w:t>目共3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highlight w:val="none"/>
          <w:lang w:eastAsia="zh-CN" w:bidi="ar"/>
          <w:woUserID w:val="1"/>
        </w:rPr>
        <w:t>6</w:t>
      </w:r>
      <w:r>
        <w:rPr>
          <w:rFonts w:hint="eastAsia" w:ascii="仿宋_GB2312" w:hAnsi="Calibri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  <w:woUserID w:val="1"/>
        </w:rPr>
        <w:t>项，投资预算15.4亿元。其中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highlight w:val="none"/>
          <w:lang w:eastAsia="zh-CN" w:bidi="ar"/>
          <w:woUserID w:val="1"/>
        </w:rPr>
        <w:t>，军工电子预算3.8亿元，通信与智能终端预算1.6亿元，高端元器件预算6.2亿元，汽车电子与装备预算2.2亿。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default"/>
          <w:lang w:eastAsia="zh-CN"/>
          <w:woUserID w:val="2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表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>11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 xml:space="preserve"> 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>能力建设投资预算明细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表</w:t>
      </w:r>
      <w:r>
        <w:rPr>
          <w:rFonts w:hint="default" w:ascii="仿宋_GB2312" w:hAnsi="Calibri" w:eastAsia="仿宋_GB2312" w:cs="仿宋_GB2312"/>
          <w:b w:val="0"/>
          <w:bCs/>
          <w:kern w:val="2"/>
          <w:sz w:val="24"/>
          <w:szCs w:val="24"/>
          <w:lang w:val="en-US" w:eastAsia="zh-CN" w:bidi="ar"/>
          <w:woUserID w:val="2"/>
        </w:rPr>
        <w:t>（单位：亿元）</w:t>
      </w:r>
    </w:p>
    <w:tbl>
      <w:tblPr>
        <w:tblStyle w:val="12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1788"/>
        <w:gridCol w:w="1033"/>
        <w:gridCol w:w="1263"/>
        <w:gridCol w:w="1332"/>
        <w:gridCol w:w="29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序号</w:t>
            </w:r>
          </w:p>
        </w:tc>
        <w:tc>
          <w:tcPr>
            <w:tcW w:w="9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业务板块</w:t>
            </w:r>
          </w:p>
        </w:tc>
        <w:tc>
          <w:tcPr>
            <w:tcW w:w="5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2024年项目数</w:t>
            </w:r>
          </w:p>
        </w:tc>
        <w:tc>
          <w:tcPr>
            <w:tcW w:w="69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woUserID w:val="1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2023年</w:t>
            </w: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1"/>
              </w:rPr>
              <w:t>投资额</w:t>
            </w:r>
          </w:p>
        </w:tc>
        <w:tc>
          <w:tcPr>
            <w:tcW w:w="73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2024年</w:t>
            </w: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1"/>
              </w:rPr>
              <w:t>投资额</w:t>
            </w: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预算</w:t>
            </w:r>
          </w:p>
        </w:tc>
        <w:tc>
          <w:tcPr>
            <w:tcW w:w="165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本年度主要新增能力提升项目及业绩支撑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34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集团合计</w:t>
            </w:r>
          </w:p>
        </w:tc>
        <w:tc>
          <w:tcPr>
            <w:tcW w:w="5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36</w:t>
            </w:r>
          </w:p>
        </w:tc>
        <w:tc>
          <w:tcPr>
            <w:tcW w:w="69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4.3</w:t>
            </w:r>
          </w:p>
        </w:tc>
        <w:tc>
          <w:tcPr>
            <w:tcW w:w="73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13.3 </w:t>
            </w:r>
          </w:p>
        </w:tc>
        <w:tc>
          <w:tcPr>
            <w:tcW w:w="165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1</w:t>
            </w:r>
          </w:p>
        </w:tc>
        <w:tc>
          <w:tcPr>
            <w:tcW w:w="9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总部</w:t>
            </w:r>
          </w:p>
        </w:tc>
        <w:tc>
          <w:tcPr>
            <w:tcW w:w="5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4</w:t>
            </w:r>
          </w:p>
        </w:tc>
        <w:tc>
          <w:tcPr>
            <w:tcW w:w="69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woUserID w:val="1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woUserID w:val="1"/>
              </w:rPr>
              <w:t>2.6</w:t>
            </w:r>
          </w:p>
        </w:tc>
        <w:tc>
          <w:tcPr>
            <w:tcW w:w="73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woUserID w:val="1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woUserID w:val="1"/>
              </w:rPr>
              <w:t>0.2</w:t>
            </w:r>
          </w:p>
        </w:tc>
        <w:tc>
          <w:tcPr>
            <w:tcW w:w="165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113#、114#项目竣工，为九州科技、川光电子扩产提供厂房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2</w:t>
            </w:r>
          </w:p>
        </w:tc>
        <w:tc>
          <w:tcPr>
            <w:tcW w:w="9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军工电子</w:t>
            </w:r>
          </w:p>
        </w:tc>
        <w:tc>
          <w:tcPr>
            <w:tcW w:w="5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8</w:t>
            </w:r>
          </w:p>
        </w:tc>
        <w:tc>
          <w:tcPr>
            <w:tcW w:w="69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woUserID w:val="1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woUserID w:val="1"/>
              </w:rPr>
              <w:t>2.0</w:t>
            </w:r>
          </w:p>
        </w:tc>
        <w:tc>
          <w:tcPr>
            <w:tcW w:w="73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1"/>
              </w:rPr>
              <w:t>3.8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 </w:t>
            </w:r>
          </w:p>
        </w:tc>
        <w:tc>
          <w:tcPr>
            <w:tcW w:w="165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九洲电器军工能力提升（23XX研保项目和8070研保项目），支撑十四五目标实现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3</w:t>
            </w:r>
          </w:p>
        </w:tc>
        <w:tc>
          <w:tcPr>
            <w:tcW w:w="9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通信与智能终端</w:t>
            </w:r>
          </w:p>
        </w:tc>
        <w:tc>
          <w:tcPr>
            <w:tcW w:w="5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5</w:t>
            </w:r>
          </w:p>
        </w:tc>
        <w:tc>
          <w:tcPr>
            <w:tcW w:w="69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woUserID w:val="1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woUserID w:val="1"/>
              </w:rPr>
              <w:t>1.0</w:t>
            </w:r>
          </w:p>
        </w:tc>
        <w:tc>
          <w:tcPr>
            <w:tcW w:w="73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1"/>
              </w:rPr>
              <w:t>1.6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 </w:t>
            </w:r>
          </w:p>
        </w:tc>
        <w:tc>
          <w:tcPr>
            <w:tcW w:w="165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九州科技数字工厂二期，6月底完成113厂房改造、线体搬迁以及114（二楼）厂房车载电子（车机项目）产线搭建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，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预计新增数字终端年产量450万套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  <w:t>4</w:t>
            </w:r>
          </w:p>
        </w:tc>
        <w:tc>
          <w:tcPr>
            <w:tcW w:w="9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高端元器件</w:t>
            </w:r>
          </w:p>
        </w:tc>
        <w:tc>
          <w:tcPr>
            <w:tcW w:w="5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10</w:t>
            </w:r>
          </w:p>
        </w:tc>
        <w:tc>
          <w:tcPr>
            <w:tcW w:w="69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woUserID w:val="1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woUserID w:val="1"/>
              </w:rPr>
              <w:t>0.8</w:t>
            </w:r>
          </w:p>
        </w:tc>
        <w:tc>
          <w:tcPr>
            <w:tcW w:w="73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1"/>
              </w:rPr>
              <w:t>6.2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 </w:t>
            </w:r>
          </w:p>
        </w:tc>
        <w:tc>
          <w:tcPr>
            <w:tcW w:w="165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1.依顿电子扩产改造项目，多层板年产提升至420万平方米2.九洲线缆110KV高压电力电缆项目，预计达产后年新增营收4.6亿元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  <w:t>5</w:t>
            </w:r>
          </w:p>
        </w:tc>
        <w:tc>
          <w:tcPr>
            <w:tcW w:w="9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汽车电子与装备</w:t>
            </w:r>
          </w:p>
        </w:tc>
        <w:tc>
          <w:tcPr>
            <w:tcW w:w="5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2</w:t>
            </w:r>
          </w:p>
        </w:tc>
        <w:tc>
          <w:tcPr>
            <w:tcW w:w="69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  <w:woUserID w:val="2"/>
              </w:rPr>
              <w:t>-</w:t>
            </w:r>
          </w:p>
        </w:tc>
        <w:tc>
          <w:tcPr>
            <w:tcW w:w="73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1"/>
              </w:rPr>
              <w:t>2.2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 </w:t>
            </w:r>
          </w:p>
        </w:tc>
        <w:tc>
          <w:tcPr>
            <w:tcW w:w="165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九洲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智造电驱动总成第一期能力建设，预计年产量达12万台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lang w:eastAsia="zh-CN" w:bidi="ar"/>
                <w:woUserID w:val="2"/>
              </w:rPr>
              <w:t>6</w:t>
            </w:r>
          </w:p>
        </w:tc>
        <w:tc>
          <w:tcPr>
            <w:tcW w:w="9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软件与数据智能</w:t>
            </w:r>
          </w:p>
        </w:tc>
        <w:tc>
          <w:tcPr>
            <w:tcW w:w="5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1</w:t>
            </w:r>
          </w:p>
        </w:tc>
        <w:tc>
          <w:tcPr>
            <w:tcW w:w="69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lang w:val="en-US"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  <w:woUserID w:val="2"/>
              </w:rPr>
              <w:t>0.2</w:t>
            </w:r>
          </w:p>
        </w:tc>
        <w:tc>
          <w:tcPr>
            <w:tcW w:w="73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1"/>
              </w:rPr>
              <w:t>0.1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 </w:t>
            </w:r>
          </w:p>
        </w:tc>
        <w:tc>
          <w:tcPr>
            <w:tcW w:w="165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1"/>
                <w:woUserID w:val="2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7</w:t>
            </w:r>
          </w:p>
        </w:tc>
        <w:tc>
          <w:tcPr>
            <w:tcW w:w="9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其他业务</w:t>
            </w:r>
          </w:p>
        </w:tc>
        <w:tc>
          <w:tcPr>
            <w:tcW w:w="5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  <w:t>4</w:t>
            </w:r>
          </w:p>
        </w:tc>
        <w:tc>
          <w:tcPr>
            <w:tcW w:w="69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lang w:val="en-US" w:eastAsia="zh-CN" w:bidi="ar"/>
                <w:woUserID w:val="2"/>
              </w:rPr>
              <w:t>0.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lang w:eastAsia="zh-CN" w:bidi="ar"/>
                <w:woUserID w:val="2"/>
              </w:rPr>
              <w:t>1</w:t>
            </w:r>
          </w:p>
        </w:tc>
        <w:tc>
          <w:tcPr>
            <w:tcW w:w="73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1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  <w:woUserID w:val="2"/>
              </w:rPr>
              <w:t>0.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lang w:eastAsia="zh-CN" w:bidi="ar"/>
                <w:woUserID w:val="1"/>
              </w:rPr>
              <w:t>7</w:t>
            </w:r>
          </w:p>
        </w:tc>
        <w:tc>
          <w:tcPr>
            <w:tcW w:w="165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woUserID w:val="2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1"/>
                <w:woUserID w:val="2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8</w:t>
            </w:r>
          </w:p>
        </w:tc>
        <w:tc>
          <w:tcPr>
            <w:tcW w:w="9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职能型业务</w:t>
            </w:r>
          </w:p>
        </w:tc>
        <w:tc>
          <w:tcPr>
            <w:tcW w:w="5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2</w:t>
            </w:r>
          </w:p>
        </w:tc>
        <w:tc>
          <w:tcPr>
            <w:tcW w:w="69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lang w:val="en-US" w:eastAsia="zh-CN" w:bidi="ar"/>
                <w:woUserID w:val="2"/>
              </w:rPr>
              <w:t>-</w:t>
            </w:r>
          </w:p>
        </w:tc>
        <w:tc>
          <w:tcPr>
            <w:tcW w:w="73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woUserID w:val="1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0.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1"/>
              </w:rPr>
              <w:t>7</w:t>
            </w:r>
          </w:p>
        </w:tc>
        <w:tc>
          <w:tcPr>
            <w:tcW w:w="165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-</w:t>
            </w:r>
          </w:p>
        </w:tc>
      </w:tr>
    </w:tbl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hAnsi="Calibri" w:eastAsia="仿宋_GB2312" w:cs="仿宋_GB2312"/>
          <w:b/>
          <w:bCs w:val="0"/>
          <w:color w:val="000000"/>
          <w:kern w:val="2"/>
          <w:sz w:val="32"/>
          <w:szCs w:val="32"/>
          <w:lang w:val="en-US" w:eastAsia="zh-CN" w:bidi="ar"/>
          <w:woUserID w:val="2"/>
        </w:rPr>
      </w:pPr>
      <w:r>
        <w:rPr>
          <w:rFonts w:hint="default" w:ascii="仿宋_GB2312" w:hAnsi="Calibri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"/>
          <w:woUserID w:val="2"/>
        </w:rPr>
        <w:t>固定资产折旧。2024年完工能力建设项目将新增折旧890万元，其中总部715万元，产业公司175万元。2024年预算的所有能力建设项目建成后将在2026-2034年间每年新增折旧约1亿元，其中总部新增0.09亿元/年，产业公司新增约0.91亿元/年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0" w:firstLineChars="0"/>
        <w:jc w:val="center"/>
        <w:rPr>
          <w:rFonts w:hint="eastAsia" w:ascii="宋体" w:hAnsi="宋体" w:eastAsia="宋体" w:cs="宋体"/>
          <w:kern w:val="0"/>
          <w:sz w:val="24"/>
          <w:szCs w:val="24"/>
          <w:woUserID w:val="2"/>
        </w:rPr>
      </w:pPr>
      <w:r>
        <w:rPr>
          <w:rFonts w:hint="default" w:ascii="仿宋_GB2312" w:hAnsi="Calibri" w:eastAsia="仿宋_GB2312" w:cs="仿宋_GB2312"/>
          <w:b/>
          <w:bCs w:val="0"/>
          <w:color w:val="000000"/>
          <w:kern w:val="2"/>
          <w:sz w:val="32"/>
          <w:szCs w:val="32"/>
          <w:lang w:val="en-US" w:eastAsia="zh-CN" w:bidi="ar"/>
          <w:woUserID w:val="2"/>
        </w:rPr>
        <w:t>表</w:t>
      </w:r>
      <w:r>
        <w:rPr>
          <w:rFonts w:hint="default" w:ascii="仿宋_GB2312" w:hAnsi="Calibri" w:eastAsia="仿宋_GB2312" w:cs="仿宋_GB2312"/>
          <w:b/>
          <w:bCs w:val="0"/>
          <w:color w:val="000000"/>
          <w:kern w:val="2"/>
          <w:sz w:val="32"/>
          <w:szCs w:val="32"/>
          <w:lang w:eastAsia="zh-CN" w:bidi="ar"/>
          <w:woUserID w:val="2"/>
        </w:rPr>
        <w:t>12</w:t>
      </w:r>
      <w:r>
        <w:rPr>
          <w:rFonts w:hint="default" w:ascii="仿宋_GB2312" w:hAnsi="Calibri" w:eastAsia="仿宋_GB2312" w:cs="仿宋_GB2312"/>
          <w:b/>
          <w:bCs w:val="0"/>
          <w:color w:val="000000"/>
          <w:kern w:val="2"/>
          <w:sz w:val="32"/>
          <w:szCs w:val="32"/>
          <w:lang w:val="en-US" w:eastAsia="zh-CN" w:bidi="ar"/>
          <w:woUserID w:val="2"/>
        </w:rPr>
        <w:t xml:space="preserve"> 能力建设项目建成后年折旧预测表</w:t>
      </w:r>
    </w:p>
    <w:tbl>
      <w:tblPr>
        <w:tblStyle w:val="12"/>
        <w:tblW w:w="483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2073"/>
        <w:gridCol w:w="50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tblHeader/>
          <w:jc w:val="center"/>
        </w:trPr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未来折旧期间</w:t>
            </w:r>
          </w:p>
        </w:tc>
        <w:tc>
          <w:tcPr>
            <w:tcW w:w="11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年折旧额（万元）</w:t>
            </w:r>
          </w:p>
        </w:tc>
        <w:tc>
          <w:tcPr>
            <w:tcW w:w="285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涉及主要公司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2024年</w:t>
            </w:r>
          </w:p>
        </w:tc>
        <w:tc>
          <w:tcPr>
            <w:tcW w:w="11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890 </w:t>
            </w:r>
          </w:p>
        </w:tc>
        <w:tc>
          <w:tcPr>
            <w:tcW w:w="285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总部715万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2025年</w:t>
            </w:r>
          </w:p>
        </w:tc>
        <w:tc>
          <w:tcPr>
            <w:tcW w:w="11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9618 </w:t>
            </w:r>
          </w:p>
        </w:tc>
        <w:tc>
          <w:tcPr>
            <w:tcW w:w="285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依顿电子4396万、九洲智造1200万、九洲线缆700万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  <w:t>、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总部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  <w:t>900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2026年</w:t>
            </w:r>
          </w:p>
        </w:tc>
        <w:tc>
          <w:tcPr>
            <w:tcW w:w="11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9941 </w:t>
            </w:r>
          </w:p>
        </w:tc>
        <w:tc>
          <w:tcPr>
            <w:tcW w:w="285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依顿电子4396万、九洲智造1200万、九洲线缆700万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  <w:t>、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总部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  <w:t>900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2027年</w:t>
            </w:r>
          </w:p>
        </w:tc>
        <w:tc>
          <w:tcPr>
            <w:tcW w:w="11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10140 </w:t>
            </w:r>
          </w:p>
        </w:tc>
        <w:tc>
          <w:tcPr>
            <w:tcW w:w="285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依顿电子4396万、九洲智造1200万、九洲线缆700万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  <w:t>、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总部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  <w:t>900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2028年</w:t>
            </w:r>
          </w:p>
        </w:tc>
        <w:tc>
          <w:tcPr>
            <w:tcW w:w="11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10119 </w:t>
            </w:r>
          </w:p>
        </w:tc>
        <w:tc>
          <w:tcPr>
            <w:tcW w:w="285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依顿电子4396万、九洲智造1200万、九洲线缆700万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  <w:t>、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总部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  <w:t>900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2029-2034年</w:t>
            </w:r>
          </w:p>
        </w:tc>
        <w:tc>
          <w:tcPr>
            <w:tcW w:w="11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10004 </w:t>
            </w:r>
          </w:p>
        </w:tc>
        <w:tc>
          <w:tcPr>
            <w:tcW w:w="285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依顿电子4396万、九洲智造1200万、九洲线缆700万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  <w:t>、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总部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  <w:t>900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2035-2039年</w:t>
            </w:r>
          </w:p>
        </w:tc>
        <w:tc>
          <w:tcPr>
            <w:tcW w:w="11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2216 </w:t>
            </w:r>
          </w:p>
        </w:tc>
        <w:tc>
          <w:tcPr>
            <w:tcW w:w="285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总部900万、九洲电器579万、九洲教投107万、中油北斗175万、依顿电子100万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2040-2044年</w:t>
            </w:r>
          </w:p>
        </w:tc>
        <w:tc>
          <w:tcPr>
            <w:tcW w:w="11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1805 </w:t>
            </w:r>
          </w:p>
        </w:tc>
        <w:tc>
          <w:tcPr>
            <w:tcW w:w="285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总部631万、九洲电器579万</w:t>
            </w:r>
          </w:p>
        </w:tc>
      </w:tr>
    </w:tbl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0" w:firstLineChars="0"/>
        <w:jc w:val="both"/>
        <w:rPr>
          <w:rFonts w:hint="eastAsia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 xml:space="preserve">    5.</w:t>
      </w:r>
      <w:r>
        <w:rPr>
          <w:rFonts w:hint="eastAsia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数字化预算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0" w:firstLineChars="0"/>
        <w:jc w:val="both"/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</w:pPr>
      <w:r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 xml:space="preserve">  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  <w:woUserID w:val="1"/>
        </w:rPr>
        <w:t xml:space="preserve">  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highlight w:val="none"/>
          <w:lang w:eastAsia="zh-CN" w:bidi="ar"/>
          <w:woUserID w:val="1"/>
        </w:rPr>
        <w:t>2024年，</w:t>
      </w:r>
      <w:r>
        <w:rPr>
          <w:rFonts w:hint="eastAsia" w:ascii="仿宋_GB2312" w:hAnsi="Calibri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  <w:woUserID w:val="1"/>
        </w:rPr>
        <w:t>集团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  <w:woUserID w:val="1"/>
        </w:rPr>
        <w:t>强力推进集团数字化转型，启动建设IT底座、财务数字化、智慧园区、智能制造、数字采购等5大工程，</w:t>
      </w:r>
      <w:r>
        <w:rPr>
          <w:rFonts w:hint="eastAsia" w:ascii="仿宋_GB2312" w:hAnsi="Calibri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  <w:woUserID w:val="1"/>
        </w:rPr>
        <w:t>数字化项目投资预算1.43亿元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val="en-US" w:eastAsia="zh-CN" w:bidi="ar"/>
          <w:woUserID w:val="1"/>
        </w:rPr>
        <w:t>，资金支付预算1.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eastAsia="zh-CN" w:bidi="ar"/>
          <w:woUserID w:val="1"/>
        </w:rPr>
        <w:t>09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val="en-US" w:eastAsia="zh-CN" w:bidi="ar"/>
          <w:woUserID w:val="1"/>
        </w:rPr>
        <w:t>亿元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  <w:woUserID w:val="1"/>
        </w:rPr>
        <w:t>。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  <w:lang w:val="en-US" w:eastAsia="zh-CN" w:bidi="ar"/>
          <w:woUserID w:val="2"/>
        </w:rPr>
        <w:t>集团数字化项目建成后预计每年新增折旧2371万元，其中总部每年新增960万元，产业公司每年新增1411万元。</w:t>
      </w:r>
    </w:p>
    <w:p>
      <w:pPr>
        <w:pStyle w:val="2"/>
        <w:jc w:val="center"/>
        <w:rPr>
          <w:rFonts w:hint="default"/>
          <w:lang w:eastAsia="zh-CN"/>
          <w:woUserID w:val="2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表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>13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 xml:space="preserve"> 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>数字化资金支出预算明细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表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24"/>
          <w:szCs w:val="24"/>
          <w:lang w:eastAsia="zh-CN" w:bidi="ar"/>
          <w:woUserID w:val="2"/>
        </w:rPr>
        <w:t>（单位：万元）</w:t>
      </w:r>
    </w:p>
    <w:tbl>
      <w:tblPr>
        <w:tblStyle w:val="1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3662"/>
        <w:gridCol w:w="2468"/>
        <w:gridCol w:w="22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tblHeader/>
        </w:trPr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序号</w:t>
            </w:r>
          </w:p>
        </w:tc>
        <w:tc>
          <w:tcPr>
            <w:tcW w:w="2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业务板块</w:t>
            </w:r>
          </w:p>
        </w:tc>
        <w:tc>
          <w:tcPr>
            <w:tcW w:w="1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2023年资金支付实际数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zh-CN" w:bidi="ar"/>
                <w:woUserID w:val="2"/>
              </w:rPr>
              <w:t>2024年资金支付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预算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  <w:t>1</w:t>
            </w:r>
          </w:p>
        </w:tc>
        <w:tc>
          <w:tcPr>
            <w:tcW w:w="2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总部</w:t>
            </w:r>
          </w:p>
        </w:tc>
        <w:tc>
          <w:tcPr>
            <w:tcW w:w="1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565.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  <w:t>7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  <w:t>3887.8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  <w:t>2</w:t>
            </w:r>
          </w:p>
        </w:tc>
        <w:tc>
          <w:tcPr>
            <w:tcW w:w="2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军工电子</w:t>
            </w:r>
          </w:p>
        </w:tc>
        <w:tc>
          <w:tcPr>
            <w:tcW w:w="1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3413.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  <w:t>8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1097.0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  <w:t>3</w:t>
            </w:r>
          </w:p>
        </w:tc>
        <w:tc>
          <w:tcPr>
            <w:tcW w:w="2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通信与智能终端</w:t>
            </w:r>
          </w:p>
        </w:tc>
        <w:tc>
          <w:tcPr>
            <w:tcW w:w="1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184.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  <w:t>1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727.6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  <w:t>4</w:t>
            </w:r>
          </w:p>
        </w:tc>
        <w:tc>
          <w:tcPr>
            <w:tcW w:w="2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软件与数据智能</w:t>
            </w:r>
          </w:p>
        </w:tc>
        <w:tc>
          <w:tcPr>
            <w:tcW w:w="1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88.5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920.0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  <w:t>5</w:t>
            </w:r>
          </w:p>
        </w:tc>
        <w:tc>
          <w:tcPr>
            <w:tcW w:w="2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高端元器件</w:t>
            </w:r>
          </w:p>
        </w:tc>
        <w:tc>
          <w:tcPr>
            <w:tcW w:w="1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103.6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1749.3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  <w:t>6</w:t>
            </w:r>
          </w:p>
        </w:tc>
        <w:tc>
          <w:tcPr>
            <w:tcW w:w="2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汽车电子与装备</w:t>
            </w:r>
          </w:p>
        </w:tc>
        <w:tc>
          <w:tcPr>
            <w:tcW w:w="1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  <w:t>-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792.0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  <w:t>7</w:t>
            </w:r>
          </w:p>
        </w:tc>
        <w:tc>
          <w:tcPr>
            <w:tcW w:w="2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机会业务</w:t>
            </w:r>
          </w:p>
        </w:tc>
        <w:tc>
          <w:tcPr>
            <w:tcW w:w="1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449.5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1122.6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  <w:t>8</w:t>
            </w:r>
          </w:p>
        </w:tc>
        <w:tc>
          <w:tcPr>
            <w:tcW w:w="2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职能型业务</w:t>
            </w:r>
          </w:p>
        </w:tc>
        <w:tc>
          <w:tcPr>
            <w:tcW w:w="1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4.8 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619.3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40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  <w:t>合    计</w:t>
            </w:r>
          </w:p>
        </w:tc>
        <w:tc>
          <w:tcPr>
            <w:tcW w:w="1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48</w:t>
            </w: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  <w:t>10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 xml:space="preserve"> 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woUserID w:val="2"/>
              </w:rPr>
              <w:t>1</w:t>
            </w: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2"/>
              </w:rPr>
              <w:t>0916</w:t>
            </w:r>
          </w:p>
        </w:tc>
      </w:tr>
    </w:tbl>
    <w:p>
      <w:pPr>
        <w:pStyle w:val="3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afterLines="0"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  <w:woUserID w:val="2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lang w:eastAsia="zh-CN"/>
          <w:woUserID w:val="2"/>
        </w:rPr>
        <w:t>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  <w:woUserID w:val="2"/>
        </w:rPr>
        <w:t>、总部预算情况</w:t>
      </w: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1" w:firstLineChars="200"/>
        <w:textAlignment w:val="auto"/>
        <w:rPr>
          <w:rFonts w:hint="eastAsia" w:ascii="楷体_GB2312" w:hAnsi="楷体_GB2312" w:eastAsia="楷体_GB2312" w:cs="楷体_GB2312"/>
          <w:b/>
          <w:color w:val="C00000"/>
          <w:highlight w:val="none"/>
          <w:lang w:val="en-US" w:eastAsia="zh-CN"/>
          <w:woUserID w:val="2"/>
        </w:rPr>
      </w:pPr>
      <w:r>
        <w:rPr>
          <w:rFonts w:hint="eastAsia" w:ascii="楷体_GB2312" w:hAnsi="楷体_GB2312" w:eastAsia="楷体_GB2312" w:cs="楷体_GB2312"/>
          <w:b/>
          <w:highlight w:val="none"/>
          <w:lang w:val="en-US" w:eastAsia="zh-CN"/>
          <w:woUserID w:val="2"/>
        </w:rPr>
        <w:t>（一）整体预算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1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  <w:woUserID w:val="2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2024年总部利润盈亏平衡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>（不含创智研究院研发费用0.5亿）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，经营性资金净流入无法覆盖投资性资金流出。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营收预算4.0亿元，同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lang w:val="en-US" w:eastAsia="zh-CN" w:bidi="ar"/>
          <w:woUserID w:val="2"/>
        </w:rPr>
        <w:t>比增长6.8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%；</w:t>
      </w:r>
      <w:r>
        <w:rPr>
          <w:rFonts w:hint="default" w:ascii="仿宋_GB2312" w:hAnsi="Calibri" w:eastAsia="仿宋_GB2312" w:cs="仿宋_GB2312"/>
          <w:bCs/>
          <w:kern w:val="2"/>
          <w:sz w:val="32"/>
          <w:szCs w:val="32"/>
          <w:lang w:val="en-US" w:eastAsia="zh-CN" w:bidi="ar"/>
          <w:woUserID w:val="2"/>
        </w:rPr>
        <w:t>利润总额预算38万元，同比下降99.6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%（去年同期含华丰公允价值变动损益5776万）。经营性资金净流入5.1亿元，同比增加0.17亿元；投资性资金净流出37亿元(含对九洲电器投资25亿)，同比增加31亿元；国有资本金、产业公司借款、利息等净流出11.65亿元，同比增加3.9亿元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woUserID w:val="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 xml:space="preserve">    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资金预算缺口43.5亿元，计划通过筹资弥补缺口。筹资性资金净流入44亿元（含引入国开基金股权融资25亿），同比增加23亿元。</w:t>
      </w:r>
    </w:p>
    <w:p>
      <w:pPr>
        <w:pStyle w:val="4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1" w:firstLineChars="200"/>
        <w:textAlignment w:val="auto"/>
        <w:rPr>
          <w:rFonts w:hint="eastAsia" w:ascii="楷体_GB2312" w:hAnsi="楷体_GB2312" w:eastAsia="楷体_GB2312" w:cs="楷体_GB2312"/>
          <w:b/>
          <w:highlight w:val="none"/>
          <w:lang w:val="en-US" w:eastAsia="zh-CN"/>
          <w:woUserID w:val="2"/>
        </w:rPr>
      </w:pPr>
      <w:r>
        <w:rPr>
          <w:rFonts w:hint="eastAsia" w:ascii="楷体_GB2312" w:hAnsi="楷体_GB2312" w:eastAsia="楷体_GB2312" w:cs="楷体_GB2312"/>
          <w:b/>
          <w:highlight w:val="none"/>
          <w:lang w:val="en-US" w:eastAsia="zh-CN"/>
          <w:woUserID w:val="2"/>
        </w:rPr>
        <w:t>专项预算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79" w:leftChars="304" w:hanging="641" w:hangingChars="200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  <w:woUserID w:val="2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  <w:woUserID w:val="2"/>
        </w:rPr>
        <w:t>1.费用预算（不含人工）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2024年总部费用预算（不含人工）合计5.4亿，同比增加5.9%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>，从构成来看，销售费用（293万）和财务费用（3.7亿）分别下降28.5%、3.49%，管理费用（1.6亿）增长35%。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管理费用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>增长主要集中在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中介费、折旧摊销、信息系统管理及运行费、设备设施维修、人才引进、宣传、水电气、差旅、国安工作经费。详见下表：</w:t>
      </w:r>
    </w:p>
    <w:p>
      <w:pPr>
        <w:pStyle w:val="4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default" w:ascii="仿宋_GB2312" w:eastAsia="仿宋_GB2312" w:cs="仿宋_GB2312"/>
          <w:b w:val="0"/>
          <w:bCs w:val="0"/>
          <w:kern w:val="2"/>
          <w:sz w:val="24"/>
          <w:szCs w:val="24"/>
          <w:woUserID w:val="2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 xml:space="preserve">表14 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总部主要费用增长情况表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24"/>
          <w:szCs w:val="24"/>
          <w:lang w:eastAsia="zh-CN" w:bidi="ar"/>
          <w:woUserID w:val="2"/>
        </w:rPr>
        <w:t>（单位：万元）</w:t>
      </w:r>
    </w:p>
    <w:tbl>
      <w:tblPr>
        <w:tblStyle w:val="12"/>
        <w:tblW w:w="488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1"/>
        <w:gridCol w:w="1508"/>
        <w:gridCol w:w="1246"/>
        <w:gridCol w:w="42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tblHeader/>
          <w:jc w:val="center"/>
        </w:trPr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center"/>
              <w:textAlignment w:val="center"/>
              <w:rPr>
                <w:rFonts w:hint="default" w:asci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费用项目</w:t>
            </w:r>
          </w:p>
        </w:tc>
        <w:tc>
          <w:tcPr>
            <w:tcW w:w="85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2024年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预算</w:t>
            </w:r>
          </w:p>
        </w:tc>
        <w:tc>
          <w:tcPr>
            <w:tcW w:w="70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同比</w:t>
            </w:r>
          </w:p>
        </w:tc>
        <w:tc>
          <w:tcPr>
            <w:tcW w:w="241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center"/>
              <w:textAlignment w:val="center"/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中介机构费</w:t>
            </w:r>
          </w:p>
        </w:tc>
        <w:tc>
          <w:tcPr>
            <w:tcW w:w="85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1393</w:t>
            </w:r>
          </w:p>
        </w:tc>
        <w:tc>
          <w:tcPr>
            <w:tcW w:w="70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309.2%</w:t>
            </w:r>
          </w:p>
        </w:tc>
        <w:tc>
          <w:tcPr>
            <w:tcW w:w="241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/>
                <w:lang w:eastAsia="zh-CN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主要增加：集团增资扩股项目（两家基金）896万；组织人事部薪酬专项报告费70万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center"/>
              <w:textAlignment w:val="center"/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折旧</w:t>
            </w:r>
            <w:r>
              <w:rPr>
                <w:rFonts w:hint="default" w:ascii="仿宋_GB2312" w:hAnsi="Calibri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摊销费</w:t>
            </w:r>
          </w:p>
        </w:tc>
        <w:tc>
          <w:tcPr>
            <w:tcW w:w="85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  <w:t>5333</w:t>
            </w:r>
          </w:p>
        </w:tc>
        <w:tc>
          <w:tcPr>
            <w:tcW w:w="70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20.4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%</w:t>
            </w:r>
          </w:p>
        </w:tc>
        <w:tc>
          <w:tcPr>
            <w:tcW w:w="241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主要是园区双电源建设和数字化建设导致折旧摊销费用增加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信息系统管理及运行费</w:t>
            </w:r>
          </w:p>
        </w:tc>
        <w:tc>
          <w:tcPr>
            <w:tcW w:w="85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90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1</w:t>
            </w:r>
          </w:p>
        </w:tc>
        <w:tc>
          <w:tcPr>
            <w:tcW w:w="70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150.8%</w:t>
            </w:r>
          </w:p>
        </w:tc>
        <w:tc>
          <w:tcPr>
            <w:tcW w:w="241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新增办公平台、软件系统运维外包服务、招聘管理系统等运维费334万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设备设施维修费</w:t>
            </w:r>
          </w:p>
        </w:tc>
        <w:tc>
          <w:tcPr>
            <w:tcW w:w="85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310</w:t>
            </w:r>
          </w:p>
        </w:tc>
        <w:tc>
          <w:tcPr>
            <w:tcW w:w="70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338.2%</w:t>
            </w:r>
          </w:p>
        </w:tc>
        <w:tc>
          <w:tcPr>
            <w:tcW w:w="241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/>
                <w:lang w:eastAsia="zh-CN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一是新增厂房树木移栽、九洲单身公寓维修改造等项目；二是</w:t>
            </w:r>
            <w:r>
              <w:rPr>
                <w:rFonts w:hint="eastAsia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20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23年部分项目在</w:t>
            </w:r>
            <w:r>
              <w:rPr>
                <w:rFonts w:hint="eastAsia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20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24年支付124万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2"/>
              </w:rPr>
              <w:t>后勤服务费</w:t>
            </w:r>
          </w:p>
        </w:tc>
        <w:tc>
          <w:tcPr>
            <w:tcW w:w="85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2"/>
              </w:rPr>
              <w:t>46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  <w:woUserID w:val="2"/>
              </w:rPr>
              <w:t>70</w:t>
            </w:r>
          </w:p>
        </w:tc>
        <w:tc>
          <w:tcPr>
            <w:tcW w:w="70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  <w:woUserID w:val="2"/>
              </w:rPr>
              <w:t>5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2"/>
              </w:rPr>
              <w:t>%</w:t>
            </w:r>
          </w:p>
        </w:tc>
        <w:tc>
          <w:tcPr>
            <w:tcW w:w="241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  <w:woUserID w:val="2"/>
              </w:rPr>
              <w:t>主要因2023年用电量增加（各公司产能增加、新修厂房）导致能源供给保障费增加，有90万能源供给保障费因预算不足延期至2024年支付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人才引进费</w:t>
            </w:r>
          </w:p>
        </w:tc>
        <w:tc>
          <w:tcPr>
            <w:tcW w:w="85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  <w:t>808</w:t>
            </w:r>
          </w:p>
        </w:tc>
        <w:tc>
          <w:tcPr>
            <w:tcW w:w="70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657.1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%</w:t>
            </w:r>
          </w:p>
        </w:tc>
        <w:tc>
          <w:tcPr>
            <w:tcW w:w="241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/>
                <w:color w:val="000000"/>
                <w:lang w:eastAsia="zh-CN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一是2023年高校奖学金24万延期支付；二是新增干部社会化选聘测评费用、猎头费用；三是外部背调及公司内部员工背调费用增加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  <w:woUserID w:val="2"/>
              </w:rPr>
              <w:t>（人才引进费预计产业公司分摊481万元，总部承担327万元）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宣传费</w:t>
            </w:r>
          </w:p>
        </w:tc>
        <w:tc>
          <w:tcPr>
            <w:tcW w:w="85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  <w:t>647</w:t>
            </w:r>
          </w:p>
        </w:tc>
        <w:tc>
          <w:tcPr>
            <w:tcW w:w="70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449.8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%</w:t>
            </w:r>
          </w:p>
        </w:tc>
        <w:tc>
          <w:tcPr>
            <w:tcW w:w="241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新增创新展示中心改造升级预计费用500万元。新增九洲形象宣传片（原宣传片已使用3年）、党建宣传片和廉洁宣传片合计85万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水电气费</w:t>
            </w:r>
          </w:p>
        </w:tc>
        <w:tc>
          <w:tcPr>
            <w:tcW w:w="85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64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9</w:t>
            </w:r>
          </w:p>
        </w:tc>
        <w:tc>
          <w:tcPr>
            <w:tcW w:w="70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11.3%</w:t>
            </w:r>
          </w:p>
        </w:tc>
        <w:tc>
          <w:tcPr>
            <w:tcW w:w="241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eastAsia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20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24年新建106#、107#、113#、114#等厂房导致配套水电气成本增加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差旅费</w:t>
            </w:r>
          </w:p>
        </w:tc>
        <w:tc>
          <w:tcPr>
            <w:tcW w:w="85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224</w:t>
            </w:r>
          </w:p>
        </w:tc>
        <w:tc>
          <w:tcPr>
            <w:tcW w:w="70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27.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8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%</w:t>
            </w:r>
          </w:p>
        </w:tc>
        <w:tc>
          <w:tcPr>
            <w:tcW w:w="241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24年整体人均标准同比下降25%，差旅费同比增长，一是因数字化部全年预算；二是公司办承担公司领导差旅费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国安工作经费</w:t>
            </w:r>
          </w:p>
        </w:tc>
        <w:tc>
          <w:tcPr>
            <w:tcW w:w="85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4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1</w:t>
            </w:r>
          </w:p>
        </w:tc>
        <w:tc>
          <w:tcPr>
            <w:tcW w:w="70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1144.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7</w:t>
            </w: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%</w:t>
            </w:r>
          </w:p>
        </w:tc>
        <w:tc>
          <w:tcPr>
            <w:tcW w:w="241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因专项建设增加导致国安工作经费同比增长</w:t>
            </w:r>
          </w:p>
        </w:tc>
      </w:tr>
    </w:tbl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79" w:leftChars="304" w:hanging="641" w:hanging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  <w:woUserID w:val="2"/>
        </w:rPr>
      </w:pPr>
      <w:r>
        <w:rPr>
          <w:rFonts w:hint="default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eastAsia="zh-CN"/>
          <w:woUserID w:val="2"/>
        </w:rPr>
        <w:t>2.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  <w:woUserID w:val="2"/>
        </w:rPr>
        <w:t>人工成本预算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eastAsia="仿宋_GB2312" w:cs="仿宋_GB2312"/>
          <w:color w:val="000000"/>
          <w:kern w:val="2"/>
          <w:sz w:val="32"/>
          <w:szCs w:val="32"/>
          <w:highlight w:val="yellow"/>
          <w:woUserID w:val="2"/>
        </w:rPr>
      </w:pP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 w:bidi="ar"/>
          <w:woUserID w:val="2"/>
        </w:rPr>
        <w:t>2024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eastAsia="zh-CN" w:bidi="ar"/>
          <w:woUserID w:val="2"/>
        </w:rPr>
        <w:t>年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 w:bidi="ar"/>
          <w:woUserID w:val="2"/>
        </w:rPr>
        <w:t>总部人工成本预算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lang w:val="en-US" w:eastAsia="zh-CN" w:bidi="ar"/>
          <w:woUserID w:val="2"/>
        </w:rPr>
        <w:t>15508万元</w:t>
      </w:r>
      <w:r>
        <w:rPr>
          <w:rFonts w:hint="default" w:ascii="仿宋_GB2312" w:hAnsi="Calibri" w:eastAsia="仿宋_GB2312" w:cs="仿宋_GB2312"/>
          <w:i w:val="0"/>
          <w:iCs w:val="0"/>
          <w:color w:val="000000"/>
          <w:kern w:val="0"/>
          <w:sz w:val="32"/>
          <w:szCs w:val="32"/>
          <w:highlight w:val="none"/>
          <w:lang w:eastAsia="zh-CN" w:bidi="ar"/>
          <w:woUserID w:val="2"/>
        </w:rPr>
        <w:t>（预计产业公司分摊1001万元，总部承担14507万元），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lang w:val="en-US" w:eastAsia="zh-CN" w:bidi="ar"/>
          <w:woUserID w:val="2"/>
        </w:rPr>
        <w:t>同比减少1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.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>7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%。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>从构成来看，在岗人员因人数增加相应增加成本，内退人员持续转为离退休人员相应人工成本减少。其中，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 w:bidi="ar"/>
          <w:woUserID w:val="2"/>
        </w:rPr>
        <w:t>在岗职工人工成本10450万元，同比增幅14.1%；内退和不在岗人员人工成本2873万元，同比降幅36.8%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eastAsia="zh-CN" w:bidi="ar"/>
          <w:woUserID w:val="2"/>
        </w:rPr>
        <w:t>；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 w:bidi="ar"/>
          <w:woUserID w:val="2"/>
        </w:rPr>
        <w:t>离退休人员成本1971万元，同比增幅3.0%。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woUserID w:val="2"/>
        </w:rPr>
      </w:pP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 w:bidi="ar"/>
          <w:woUserID w:val="2"/>
        </w:rPr>
        <w:t>根据公司审定的招聘计划，预计2024年总部在岗职工年末人数将达到288人（不含九洲融合创新研究院、迪佳通公司，另行按单独主体进行预算），同比上年末净增加62人；全年平均277人，较上年增幅25.6%。其中，新增部门预计年末将达到29人，包括数字化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eastAsia="zh-CN" w:bidi="ar"/>
          <w:woUserID w:val="2"/>
        </w:rPr>
        <w:t>部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 w:bidi="ar"/>
          <w:woUserID w:val="2"/>
        </w:rPr>
        <w:t>20人、市场部5人、园区服务中心4人，预计相应的2024年人工成本460万元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lang w:val="en-US" w:eastAsia="zh-CN" w:bidi="ar"/>
          <w:woUserID w:val="2"/>
        </w:rPr>
        <w:t>。</w:t>
      </w:r>
    </w:p>
    <w:p>
      <w:pPr>
        <w:pStyle w:val="11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560" w:lineRule="exact"/>
        <w:ind w:left="1279" w:leftChars="304" w:right="0" w:hanging="641" w:hangingChars="200"/>
        <w:jc w:val="both"/>
        <w:textAlignment w:val="auto"/>
        <w:rPr>
          <w:rFonts w:hint="eastAsia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>3.</w:t>
      </w:r>
      <w:r>
        <w:rPr>
          <w:rFonts w:hint="eastAsia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数字化预算</w:t>
      </w:r>
    </w:p>
    <w:p>
      <w:pPr>
        <w:pStyle w:val="11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560" w:lineRule="exact"/>
        <w:ind w:left="1279" w:leftChars="304" w:right="0" w:hanging="641" w:hangingChars="200"/>
        <w:jc w:val="both"/>
        <w:textAlignment w:val="auto"/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>（1）数字化投资预算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仿宋_GB2312" w:hAnsi="Calibri" w:eastAsia="仿宋_GB2312" w:cs="仿宋_GB2312"/>
          <w:b/>
          <w:bCs/>
          <w:color w:val="C00000"/>
          <w:kern w:val="2"/>
          <w:sz w:val="32"/>
          <w:szCs w:val="32"/>
          <w:lang w:eastAsia="zh-CN" w:bidi="ar"/>
          <w:woUserID w:val="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 xml:space="preserve"> 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  <w:woUserID w:val="2"/>
        </w:rPr>
        <w:t>2024年总部数字化建设投资预算4909.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eastAsia="zh-CN"/>
          <w:woUserID w:val="2"/>
        </w:rPr>
        <w:t>3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  <w:woUserID w:val="2"/>
        </w:rPr>
        <w:t>万元，资金支付预算3887.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eastAsia="zh-CN"/>
          <w:woUserID w:val="2"/>
        </w:rPr>
        <w:t>8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  <w:woUserID w:val="2"/>
        </w:rPr>
        <w:t>万元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eastAsia="zh-CN"/>
          <w:woUserID w:val="2"/>
        </w:rPr>
        <w:t>。总部数字化建设项目预计最早于2024年底完成，</w:t>
      </w:r>
      <w:r>
        <w:rPr>
          <w:rFonts w:hint="default" w:ascii="仿宋_GB2312" w:hAnsi="Calibri" w:eastAsia="仿宋_GB2312" w:cs="仿宋_GB2312"/>
          <w:b w:val="0"/>
          <w:bCs w:val="0"/>
          <w:color w:val="000000"/>
          <w:kern w:val="2"/>
          <w:sz w:val="32"/>
          <w:szCs w:val="32"/>
          <w:lang w:eastAsia="zh-CN" w:bidi="ar"/>
          <w:woUserID w:val="2"/>
        </w:rPr>
        <w:t>2025年及以后新增年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"/>
          <w:woUserID w:val="2"/>
        </w:rPr>
        <w:t>折旧</w:t>
      </w:r>
      <w:r>
        <w:rPr>
          <w:rFonts w:hint="default" w:ascii="仿宋_GB2312" w:hAnsi="Calibri" w:eastAsia="仿宋_GB2312" w:cs="仿宋_GB2312"/>
          <w:b w:val="0"/>
          <w:bCs w:val="0"/>
          <w:color w:val="000000"/>
          <w:kern w:val="2"/>
          <w:sz w:val="32"/>
          <w:szCs w:val="32"/>
          <w:lang w:eastAsia="zh-CN" w:bidi="ar"/>
          <w:woUserID w:val="2"/>
        </w:rPr>
        <w:t>/摊销479.9万元。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auto"/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>表16 数字化资金支出预算明细表</w:t>
      </w:r>
    </w:p>
    <w:tbl>
      <w:tblPr>
        <w:tblStyle w:val="13"/>
        <w:tblW w:w="482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3"/>
        <w:gridCol w:w="2008"/>
        <w:gridCol w:w="1846"/>
        <w:gridCol w:w="1136"/>
        <w:gridCol w:w="15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tblHeader/>
          <w:jc w:val="center"/>
        </w:trPr>
        <w:tc>
          <w:tcPr>
            <w:tcW w:w="12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  <w:woUserID w:val="2"/>
              </w:rPr>
              <w:t>项目属性</w:t>
            </w:r>
          </w:p>
        </w:tc>
        <w:tc>
          <w:tcPr>
            <w:tcW w:w="11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  <w:woUserID w:val="2"/>
              </w:rPr>
              <w:t>2023年资金支出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  <w:woUserID w:val="2"/>
              </w:rPr>
              <w:t>实际</w:t>
            </w:r>
            <w:r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  <w:woUserID w:val="2"/>
              </w:rPr>
              <w:t>数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  <w:woUserID w:val="2"/>
              </w:rPr>
              <w:t>（万元）</w:t>
            </w:r>
          </w:p>
        </w:tc>
        <w:tc>
          <w:tcPr>
            <w:tcW w:w="105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lang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  <w:woUserID w:val="2"/>
              </w:rPr>
              <w:t>2024</w:t>
            </w:r>
            <w:r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  <w:woUserID w:val="2"/>
              </w:rPr>
              <w:t>资金支出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  <w:woUserID w:val="2"/>
              </w:rPr>
              <w:t>预算（万元）</w:t>
            </w:r>
          </w:p>
        </w:tc>
        <w:tc>
          <w:tcPr>
            <w:tcW w:w="6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  <w:woUserID w:val="2"/>
              </w:rPr>
              <w:t>占比</w:t>
            </w:r>
          </w:p>
        </w:tc>
        <w:tc>
          <w:tcPr>
            <w:tcW w:w="89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  <w:woUserID w:val="2"/>
              </w:rPr>
              <w:t>同比增长额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  <w:woUserID w:val="2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24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  <w:woUserID w:val="2"/>
              </w:rPr>
              <w:t>新建项目</w:t>
            </w:r>
          </w:p>
        </w:tc>
        <w:tc>
          <w:tcPr>
            <w:tcW w:w="11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  <w:woUserID w:val="2"/>
              </w:rPr>
              <w:t>354.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  <w:woUserID w:val="2"/>
              </w:rPr>
              <w:t>3</w:t>
            </w:r>
          </w:p>
        </w:tc>
        <w:tc>
          <w:tcPr>
            <w:tcW w:w="105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  <w:woUserID w:val="2"/>
              </w:rPr>
              <w:t>2880.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  <w:woUserID w:val="2"/>
              </w:rPr>
              <w:t>3</w:t>
            </w:r>
          </w:p>
        </w:tc>
        <w:tc>
          <w:tcPr>
            <w:tcW w:w="6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  <w:woUserID w:val="2"/>
              </w:rPr>
              <w:t>74.1%</w:t>
            </w:r>
          </w:p>
        </w:tc>
        <w:tc>
          <w:tcPr>
            <w:tcW w:w="89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  <w:woUserID w:val="2"/>
              </w:rPr>
              <w:t>2526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24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  <w:woUserID w:val="2"/>
              </w:rPr>
              <w:t>新购设备</w:t>
            </w:r>
          </w:p>
        </w:tc>
        <w:tc>
          <w:tcPr>
            <w:tcW w:w="11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  <w:woUserID w:val="2"/>
              </w:rPr>
              <w:t>53.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  <w:woUserID w:val="2"/>
              </w:rPr>
              <w:t>5</w:t>
            </w:r>
          </w:p>
        </w:tc>
        <w:tc>
          <w:tcPr>
            <w:tcW w:w="105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  <w:woUserID w:val="2"/>
              </w:rPr>
              <w:t>110.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  <w:woUserID w:val="2"/>
              </w:rPr>
              <w:t>4</w:t>
            </w:r>
          </w:p>
        </w:tc>
        <w:tc>
          <w:tcPr>
            <w:tcW w:w="6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  <w:woUserID w:val="2"/>
              </w:rPr>
              <w:t>2.8%</w:t>
            </w:r>
          </w:p>
        </w:tc>
        <w:tc>
          <w:tcPr>
            <w:tcW w:w="89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  <w:woUserID w:val="2"/>
              </w:rPr>
              <w:t>56.9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4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  <w:woUserID w:val="2"/>
              </w:rPr>
              <w:t>既有项目</w:t>
            </w:r>
          </w:p>
        </w:tc>
        <w:tc>
          <w:tcPr>
            <w:tcW w:w="11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  <w:woUserID w:val="2"/>
              </w:rPr>
              <w:t>157.9</w:t>
            </w:r>
          </w:p>
        </w:tc>
        <w:tc>
          <w:tcPr>
            <w:tcW w:w="105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  <w:woUserID w:val="2"/>
              </w:rPr>
              <w:t>897.1</w:t>
            </w:r>
          </w:p>
        </w:tc>
        <w:tc>
          <w:tcPr>
            <w:tcW w:w="6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  <w:woUserID w:val="2"/>
              </w:rPr>
              <w:t>23.1%</w:t>
            </w:r>
          </w:p>
        </w:tc>
        <w:tc>
          <w:tcPr>
            <w:tcW w:w="89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  <w:woUserID w:val="2"/>
              </w:rPr>
              <w:t>739.2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4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4"/>
                <w:vertAlign w:val="baseline"/>
                <w:lang w:eastAsia="zh-CN" w:bidi="ar-SA"/>
                <w:woUserID w:val="2"/>
              </w:rPr>
              <w:t>合计</w:t>
            </w:r>
          </w:p>
        </w:tc>
        <w:tc>
          <w:tcPr>
            <w:tcW w:w="11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  <w:woUserID w:val="2"/>
              </w:rPr>
              <w:t>565.</w:t>
            </w:r>
            <w:r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  <w:woUserID w:val="2"/>
              </w:rPr>
              <w:t>7</w:t>
            </w:r>
          </w:p>
        </w:tc>
        <w:tc>
          <w:tcPr>
            <w:tcW w:w="105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  <w:woUserID w:val="2"/>
              </w:rPr>
              <w:t>3887.8</w:t>
            </w:r>
          </w:p>
        </w:tc>
        <w:tc>
          <w:tcPr>
            <w:tcW w:w="6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  <w:woUserID w:val="2"/>
              </w:rPr>
              <w:t>100%</w:t>
            </w:r>
          </w:p>
        </w:tc>
        <w:tc>
          <w:tcPr>
            <w:tcW w:w="89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  <w:woUserID w:val="2"/>
              </w:rPr>
              <w:t>3322.1</w:t>
            </w:r>
          </w:p>
        </w:tc>
      </w:tr>
    </w:tbl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right="0" w:firstLine="641" w:firstLineChars="200"/>
        <w:jc w:val="both"/>
        <w:textAlignment w:val="auto"/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val="en-US" w:eastAsia="zh-CN"/>
          <w:woUserID w:val="2"/>
        </w:rPr>
      </w:pPr>
      <w:r>
        <w:rPr>
          <w:rFonts w:hint="default" w:ascii="仿宋_GB2312" w:hAnsi="宋体" w:eastAsia="仿宋_GB2312" w:cs="宋体"/>
          <w:b/>
          <w:bCs/>
          <w:color w:val="000000"/>
          <w:kern w:val="0"/>
          <w:sz w:val="32"/>
          <w:szCs w:val="32"/>
          <w:lang w:val="en-US" w:eastAsia="zh-CN"/>
          <w:woUserID w:val="2"/>
        </w:rPr>
        <w:t>新建项目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eastAsia="zh-CN"/>
          <w:woUserID w:val="2"/>
        </w:rPr>
        <w:t>投资预算为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val="en-US" w:eastAsia="zh-CN"/>
          <w:woUserID w:val="2"/>
        </w:rPr>
        <w:t>集团统建项目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eastAsia="zh-CN"/>
          <w:woUserID w:val="2"/>
        </w:rPr>
        <w:t>与集团统型项目的投资额之和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  <w:woUserID w:val="2"/>
        </w:rPr>
        <w:t>。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eastAsia="zh-CN"/>
          <w:woUserID w:val="2"/>
        </w:rPr>
        <w:t>主要有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>财务数字化、集中采购、智慧园区、一体化平台、投资与科技项目管理、IT底座、审计软件、招聘管理系统</w:t>
      </w:r>
      <w:r>
        <w:rPr>
          <w:rFonts w:hint="default" w:ascii="仿宋_GB2312" w:eastAsia="仿宋_GB2312" w:cs="仿宋_GB2312"/>
          <w:kern w:val="2"/>
          <w:sz w:val="32"/>
          <w:szCs w:val="32"/>
          <w:lang w:eastAsia="zh-CN" w:bidi="ar"/>
          <w:woUserID w:val="2"/>
        </w:rPr>
        <w:t>、市场营销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>等</w:t>
      </w:r>
      <w:r>
        <w:rPr>
          <w:rFonts w:hint="default" w:ascii="仿宋_GB2312" w:eastAsia="仿宋_GB2312" w:cs="仿宋_GB2312"/>
          <w:kern w:val="2"/>
          <w:sz w:val="32"/>
          <w:szCs w:val="32"/>
          <w:lang w:eastAsia="zh-CN" w:bidi="ar"/>
          <w:woUserID w:val="2"/>
        </w:rPr>
        <w:t>9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>个</w:t>
      </w:r>
      <w:r>
        <w:rPr>
          <w:rFonts w:hint="default" w:ascii="仿宋_GB2312" w:eastAsia="仿宋_GB2312" w:cs="仿宋_GB2312"/>
          <w:kern w:val="2"/>
          <w:sz w:val="32"/>
          <w:szCs w:val="32"/>
          <w:lang w:eastAsia="zh-CN" w:bidi="ar"/>
          <w:woUserID w:val="2"/>
        </w:rPr>
        <w:t>大项，30个小项。</w:t>
      </w:r>
    </w:p>
    <w:p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eastAsia="zh-CN"/>
          <w:woUserID w:val="2"/>
        </w:rPr>
      </w:pPr>
      <w:r>
        <w:rPr>
          <w:rFonts w:hint="default" w:ascii="仿宋_GB2312" w:hAnsi="宋体" w:eastAsia="仿宋_GB2312" w:cs="宋体"/>
          <w:b/>
          <w:bCs/>
          <w:color w:val="000000"/>
          <w:kern w:val="0"/>
          <w:sz w:val="32"/>
          <w:szCs w:val="32"/>
          <w:lang w:eastAsia="zh-CN"/>
          <w:woUserID w:val="2"/>
        </w:rPr>
        <w:t xml:space="preserve">    （2）集团统建项目收费建议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eastAsia="zh-CN"/>
          <w:woUserID w:val="2"/>
        </w:rPr>
        <w:t xml:space="preserve">    </w:t>
      </w:r>
    </w:p>
    <w:p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_GB2312" w:hAnsi="宋体" w:eastAsia="仿宋_GB2312" w:cs="宋体"/>
          <w:b/>
          <w:bCs/>
          <w:color w:val="000000"/>
          <w:kern w:val="0"/>
          <w:sz w:val="32"/>
          <w:szCs w:val="32"/>
          <w:lang w:val="en-US" w:eastAsia="zh-CN"/>
          <w:woUserID w:val="2"/>
        </w:rPr>
      </w:pP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eastAsia="zh-CN"/>
          <w:woUserID w:val="2"/>
        </w:rPr>
        <w:t xml:space="preserve">    通过外部学习调研，针对集团统建项目，长虹由子公司全部按人头分摊，实现收支平衡；海康、大华、中电科14所以赋能为主，由总部全额承担。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  <w:woUserID w:val="2"/>
        </w:rPr>
        <w:t>结合目前数字化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eastAsia="zh-CN"/>
          <w:woUserID w:val="2"/>
        </w:rPr>
        <w:t>建设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  <w:woUserID w:val="2"/>
        </w:rPr>
        <w:t>项目情况，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eastAsia="zh-CN"/>
          <w:woUserID w:val="2"/>
        </w:rPr>
        <w:t>建议集团先以赋能为主，待时机成熟后，分类分批的按人头收取费用。2024年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  <w:woUserID w:val="2"/>
        </w:rPr>
        <w:t>预计增加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eastAsia="zh-CN"/>
          <w:woUserID w:val="2"/>
        </w:rPr>
        <w:t>1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  <w:woUserID w:val="2"/>
        </w:rPr>
        <w:t>类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eastAsia="zh-CN"/>
          <w:woUserID w:val="2"/>
        </w:rPr>
        <w:t>数字化运营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  <w:woUserID w:val="2"/>
        </w:rPr>
        <w:t>收入：</w:t>
      </w:r>
      <w:r>
        <w:rPr>
          <w:rFonts w:hint="eastAsia" w:ascii="仿宋_GB2312" w:hAnsi="宋体" w:eastAsia="仿宋_GB2312" w:cs="宋体"/>
          <w:b/>
          <w:bCs/>
          <w:color w:val="000000"/>
          <w:kern w:val="0"/>
          <w:sz w:val="32"/>
          <w:szCs w:val="32"/>
          <w:lang w:val="en-US" w:eastAsia="zh-CN"/>
          <w:woUserID w:val="2"/>
        </w:rPr>
        <w:t>从2024年10月1日起，总部向使用云数据中心的产业公司征收服务器托管费、服务器租赁费。</w:t>
      </w:r>
    </w:p>
    <w:p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  <w:woUserID w:val="2"/>
        </w:rPr>
      </w:pPr>
      <w:r>
        <w:rPr>
          <w:rFonts w:hint="default" w:ascii="仿宋_GB2312" w:hAnsi="宋体" w:eastAsia="仿宋_GB2312" w:cs="宋体"/>
          <w:b/>
          <w:bCs/>
          <w:color w:val="000000"/>
          <w:kern w:val="0"/>
          <w:sz w:val="32"/>
          <w:szCs w:val="32"/>
          <w:lang w:eastAsia="zh-CN"/>
          <w:woUserID w:val="2"/>
        </w:rPr>
        <w:t xml:space="preserve">    4.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  <w:woUserID w:val="2"/>
        </w:rPr>
        <w:t>股权投资预算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 xml:space="preserve">    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2024年，总部股权投资资金支出预算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>37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.26亿元。从构成来看，新增投资支出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>34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.5亿元，存量投资支出2.76亿元。新增投资支出大幅增加的主要原因为对内产业再投入金额大幅增加，如总部增资九洲电器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>25亿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；增资九洲线缆1.68亿元；新设重庆九洲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>智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造公司2.8亿元等；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>其他股权投资项目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预计支出2亿元。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auto"/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>表17 股权投资预算明细表</w:t>
      </w:r>
    </w:p>
    <w:tbl>
      <w:tblPr>
        <w:tblStyle w:val="12"/>
        <w:tblW w:w="504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87"/>
        <w:gridCol w:w="2843"/>
        <w:gridCol w:w="2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tblHeader/>
        </w:trPr>
        <w:tc>
          <w:tcPr>
            <w:tcW w:w="1778" w:type="pct"/>
            <w:tcBorders>
              <w:top w:val="single" w:color="auto" w:sz="4" w:space="0"/>
              <w:left w:val="single" w:color="auto" w:sz="4" w:space="0"/>
              <w:bottom w:val="single" w:color="595959" w:sz="4" w:space="0"/>
              <w:right w:val="single" w:color="595959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  <w:t>项目属性</w:t>
            </w:r>
          </w:p>
        </w:tc>
        <w:tc>
          <w:tcPr>
            <w:tcW w:w="1586" w:type="pct"/>
            <w:tcBorders>
              <w:top w:val="single" w:color="auto" w:sz="4" w:space="0"/>
              <w:left w:val="nil"/>
              <w:bottom w:val="single" w:color="595959" w:sz="4" w:space="0"/>
              <w:right w:val="single" w:color="595959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202</w:t>
            </w: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年</w:t>
            </w: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实际数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（</w:t>
            </w: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亿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元）</w:t>
            </w:r>
          </w:p>
        </w:tc>
        <w:tc>
          <w:tcPr>
            <w:tcW w:w="1635" w:type="pct"/>
            <w:tcBorders>
              <w:top w:val="single" w:color="auto" w:sz="4" w:space="0"/>
              <w:left w:val="nil"/>
              <w:bottom w:val="single" w:color="595959" w:sz="4" w:space="0"/>
              <w:right w:val="single" w:color="595959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2024年预算（</w:t>
            </w: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亿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778" w:type="pct"/>
            <w:tcBorders>
              <w:top w:val="single" w:color="auto" w:sz="4" w:space="0"/>
              <w:left w:val="single" w:color="auto" w:sz="4" w:space="0"/>
              <w:bottom w:val="single" w:color="595959" w:sz="4" w:space="0"/>
              <w:right w:val="single" w:color="595959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仿宋_GB2312" w:hAnsi="Calibri" w:eastAsia="仿宋_GB2312" w:cs="仿宋_GB2312"/>
                <w:b/>
                <w:bCs/>
                <w:kern w:val="2"/>
                <w:sz w:val="24"/>
                <w:szCs w:val="24"/>
                <w:lang w:val="en-US" w:eastAsia="zh-CN" w:bidi="ar"/>
                <w:woUserID w:val="2"/>
              </w:rPr>
            </w:pPr>
            <w:r>
              <w:rPr>
                <w:rFonts w:hint="eastAsia" w:ascii="仿宋_GB2312" w:hAnsi="Calibri" w:eastAsia="仿宋_GB2312" w:cs="仿宋_GB2312"/>
                <w:b/>
                <w:bCs/>
                <w:kern w:val="2"/>
                <w:sz w:val="24"/>
                <w:szCs w:val="24"/>
                <w:lang w:val="en-US" w:eastAsia="zh-CN" w:bidi="ar"/>
                <w:woUserID w:val="2"/>
              </w:rPr>
              <w:t>新增项目</w:t>
            </w:r>
          </w:p>
        </w:tc>
        <w:tc>
          <w:tcPr>
            <w:tcW w:w="1586" w:type="pct"/>
            <w:tcBorders>
              <w:top w:val="single" w:color="auto" w:sz="4" w:space="0"/>
              <w:left w:val="nil"/>
              <w:bottom w:val="single" w:color="595959" w:sz="4" w:space="0"/>
              <w:right w:val="single" w:color="595959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  <w:woUserID w:val="2"/>
              </w:rPr>
            </w:pPr>
            <w:r>
              <w:rPr>
                <w:rFonts w:hint="eastAsia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  <w:woUserID w:val="2"/>
              </w:rPr>
              <w:t>2.7</w:t>
            </w:r>
          </w:p>
        </w:tc>
        <w:tc>
          <w:tcPr>
            <w:tcW w:w="1635" w:type="pct"/>
            <w:tcBorders>
              <w:top w:val="single" w:color="auto" w:sz="4" w:space="0"/>
              <w:left w:val="nil"/>
              <w:bottom w:val="single" w:color="595959" w:sz="4" w:space="0"/>
              <w:right w:val="single" w:color="595959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eastAsia="zh-CN" w:bidi="ar"/>
                <w:woUserID w:val="2"/>
              </w:rPr>
              <w:t>34</w:t>
            </w:r>
            <w:r>
              <w:rPr>
                <w:rFonts w:hint="eastAsia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  <w:woUserID w:val="2"/>
              </w:rPr>
              <w:t>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778" w:type="pct"/>
            <w:tcBorders>
              <w:top w:val="single" w:color="auto" w:sz="4" w:space="0"/>
              <w:left w:val="single" w:color="auto" w:sz="4" w:space="0"/>
              <w:bottom w:val="single" w:color="595959" w:sz="4" w:space="0"/>
              <w:right w:val="single" w:color="595959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hAnsi="Calibri" w:eastAsia="仿宋_GB2312" w:cs="仿宋_GB2312"/>
                <w:b/>
                <w:bCs/>
                <w:kern w:val="2"/>
                <w:sz w:val="24"/>
                <w:szCs w:val="24"/>
                <w:lang w:val="en-US"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24"/>
                <w:szCs w:val="24"/>
                <w:lang w:val="en-US" w:eastAsia="zh-CN" w:bidi="ar"/>
                <w:woUserID w:val="2"/>
              </w:rPr>
              <w:t>存量项目</w:t>
            </w:r>
          </w:p>
        </w:tc>
        <w:tc>
          <w:tcPr>
            <w:tcW w:w="1586" w:type="pct"/>
            <w:tcBorders>
              <w:top w:val="single" w:color="auto" w:sz="4" w:space="0"/>
              <w:left w:val="nil"/>
              <w:bottom w:val="single" w:color="595959" w:sz="4" w:space="0"/>
              <w:right w:val="single" w:color="595959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eastAsia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  <w:woUserID w:val="2"/>
              </w:rPr>
              <w:t>1.</w:t>
            </w:r>
            <w:r>
              <w:rPr>
                <w:rFonts w:hint="default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eastAsia="zh-CN" w:bidi="ar"/>
                <w:woUserID w:val="2"/>
              </w:rPr>
              <w:t>1</w:t>
            </w:r>
          </w:p>
        </w:tc>
        <w:tc>
          <w:tcPr>
            <w:tcW w:w="1635" w:type="pct"/>
            <w:tcBorders>
              <w:top w:val="single" w:color="auto" w:sz="4" w:space="0"/>
              <w:left w:val="nil"/>
              <w:bottom w:val="single" w:color="595959" w:sz="4" w:space="0"/>
              <w:right w:val="single" w:color="595959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eastAsia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  <w:woUserID w:val="2"/>
              </w:rPr>
              <w:t>2.</w:t>
            </w:r>
            <w:r>
              <w:rPr>
                <w:rFonts w:hint="default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eastAsia="zh-CN" w:bidi="ar"/>
                <w:woUserID w:val="2"/>
              </w:rPr>
              <w:t>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17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595959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仿宋_GB2312" w:hAnsi="Calibri" w:eastAsia="仿宋_GB2312" w:cs="仿宋_GB2312"/>
                <w:b/>
                <w:bCs/>
                <w:kern w:val="2"/>
                <w:sz w:val="24"/>
                <w:szCs w:val="24"/>
                <w:lang w:val="en-US"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24"/>
                <w:szCs w:val="24"/>
                <w:lang w:val="en-US" w:eastAsia="zh-CN" w:bidi="ar"/>
                <w:woUserID w:val="2"/>
              </w:rPr>
              <w:t>合计</w:t>
            </w:r>
          </w:p>
        </w:tc>
        <w:tc>
          <w:tcPr>
            <w:tcW w:w="1586" w:type="pct"/>
            <w:tcBorders>
              <w:top w:val="single" w:color="auto" w:sz="4" w:space="0"/>
              <w:left w:val="nil"/>
              <w:bottom w:val="single" w:color="auto" w:sz="4" w:space="0"/>
              <w:right w:val="single" w:color="595959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  <w:woUserID w:val="2"/>
              </w:rPr>
            </w:pPr>
            <w:r>
              <w:rPr>
                <w:rFonts w:hint="eastAsia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  <w:woUserID w:val="2"/>
              </w:rPr>
              <w:fldChar w:fldCharType="begin"/>
            </w:r>
            <w:r>
              <w:rPr>
                <w:rFonts w:hint="eastAsia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  <w:woUserID w:val="2"/>
              </w:rPr>
              <w:instrText xml:space="preserve"> = sum(B2:B3) \* MERGEFORMAT </w:instrText>
            </w:r>
            <w:r>
              <w:rPr>
                <w:rFonts w:hint="eastAsia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  <w:woUserID w:val="2"/>
              </w:rPr>
              <w:fldChar w:fldCharType="separate"/>
            </w:r>
            <w:r>
              <w:rPr>
                <w:rFonts w:hint="eastAsia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  <w:woUserID w:val="2"/>
              </w:rPr>
              <w:t>3.8</w:t>
            </w:r>
            <w:r>
              <w:rPr>
                <w:rFonts w:hint="eastAsia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  <w:woUserID w:val="2"/>
              </w:rPr>
              <w:fldChar w:fldCharType="end"/>
            </w:r>
          </w:p>
        </w:tc>
        <w:tc>
          <w:tcPr>
            <w:tcW w:w="1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595959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eastAsia="zh-CN" w:bidi="ar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eastAsia="zh-CN" w:bidi="ar"/>
                <w:woUserID w:val="2"/>
              </w:rPr>
              <w:t>37.26</w:t>
            </w:r>
          </w:p>
        </w:tc>
      </w:tr>
    </w:tbl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79" w:leftChars="304" w:hanging="641" w:hangingChars="200"/>
        <w:textAlignment w:val="auto"/>
        <w:rPr>
          <w:rFonts w:hint="eastAsia" w:ascii="仿宋_GB2312" w:hAnsi="仿宋_GB2312" w:eastAsia="仿宋_GB2312" w:cs="仿宋_GB2312"/>
          <w:b/>
          <w:bCs/>
          <w:color w:val="C00000"/>
          <w:sz w:val="32"/>
          <w:szCs w:val="32"/>
          <w:highlight w:val="none"/>
          <w:lang w:val="en-US" w:eastAsia="zh-CN"/>
          <w:woUserID w:val="2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>5.</w:t>
      </w:r>
      <w:r>
        <w:rPr>
          <w:rFonts w:hint="eastAsia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固定资产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>投资</w:t>
      </w:r>
      <w:r>
        <w:rPr>
          <w:rFonts w:hint="eastAsia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预算</w:t>
      </w:r>
    </w:p>
    <w:p>
      <w:pPr>
        <w:pStyle w:val="11"/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  <w:woUserID w:val="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2024年总部固定资产类、设备设施类及房产维修类投资预算1993万元；资金支付预算16979.6万元，其中新增项目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eastAsia="zh-CN" w:bidi="ar"/>
          <w:woUserID w:val="2"/>
        </w:rPr>
        <w:t>、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2"/>
        </w:rPr>
        <w:t>新建项目、每年常规项目资金支付预算1638.1万元，结转项目资金支付预算15341.5万元。详见下表：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0" w:firstLineChars="0"/>
        <w:jc w:val="center"/>
        <w:rPr>
          <w:rFonts w:hint="default" w:ascii="仿宋_GB2312" w:hAnsi="Calibri" w:eastAsia="仿宋_GB2312" w:cs="仿宋_GB2312"/>
          <w:kern w:val="2"/>
          <w:sz w:val="32"/>
          <w:szCs w:val="32"/>
          <w:woUserID w:val="2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表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eastAsia="zh-CN" w:bidi="ar"/>
          <w:woUserID w:val="2"/>
        </w:rPr>
        <w:t xml:space="preserve">18 </w:t>
      </w:r>
      <w:r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固定资产投资预算明细表</w:t>
      </w:r>
    </w:p>
    <w:tbl>
      <w:tblPr>
        <w:tblStyle w:val="13"/>
        <w:tblW w:w="51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5"/>
        <w:gridCol w:w="2788"/>
        <w:gridCol w:w="31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tblHeader/>
          <w:jc w:val="center"/>
        </w:trPr>
        <w:tc>
          <w:tcPr>
            <w:tcW w:w="18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0"/>
                <w:szCs w:val="20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24"/>
                <w:szCs w:val="24"/>
                <w:lang w:val="en-US" w:eastAsia="zh-CN" w:bidi="ar"/>
                <w:woUserID w:val="2"/>
              </w:rPr>
              <w:t>项目属性</w:t>
            </w: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eastAsia="仿宋_GB2312" w:cs="仿宋_GB2312"/>
                <w:b/>
                <w:bCs/>
                <w:kern w:val="2"/>
                <w:sz w:val="28"/>
                <w:szCs w:val="28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202</w:t>
            </w: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年</w:t>
            </w: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实际数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（</w:t>
            </w: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亿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元）</w:t>
            </w:r>
          </w:p>
        </w:tc>
        <w:tc>
          <w:tcPr>
            <w:tcW w:w="3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eastAsia="仿宋_GB2312" w:cs="仿宋_GB2312"/>
                <w:b/>
                <w:bCs/>
                <w:kern w:val="2"/>
                <w:sz w:val="28"/>
                <w:szCs w:val="28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2024年预算（</w:t>
            </w: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  <w:woUserID w:val="2"/>
              </w:rPr>
              <w:t>亿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  <w:woUserID w:val="2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8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24"/>
                <w:szCs w:val="24"/>
                <w:lang w:val="en-US" w:eastAsia="zh-CN" w:bidi="ar"/>
                <w:woUserID w:val="2"/>
              </w:rPr>
              <w:t>固定资产类项目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eastAsia="仿宋_GB2312" w:cs="仿宋_GB2312"/>
                <w:b/>
                <w:bCs/>
                <w:kern w:val="2"/>
                <w:sz w:val="24"/>
                <w:szCs w:val="24"/>
                <w:woUserID w:val="2"/>
              </w:rPr>
              <w:t>12517</w:t>
            </w:r>
          </w:p>
        </w:tc>
        <w:tc>
          <w:tcPr>
            <w:tcW w:w="1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24"/>
                <w:szCs w:val="24"/>
                <w:lang w:val="en-US" w:eastAsia="zh-CN" w:bidi="ar"/>
                <w:woUserID w:val="2"/>
              </w:rPr>
              <w:t>16023.8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8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  <w:woUserID w:val="2"/>
              </w:rPr>
              <w:t>新建项目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  <w:t>-</w:t>
            </w:r>
          </w:p>
        </w:tc>
        <w:tc>
          <w:tcPr>
            <w:tcW w:w="1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  <w:woUserID w:val="2"/>
              </w:rPr>
              <w:t>893.8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8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  <w:woUserID w:val="2"/>
              </w:rPr>
              <w:t>结转项目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  <w:t>12517</w:t>
            </w:r>
          </w:p>
        </w:tc>
        <w:tc>
          <w:tcPr>
            <w:tcW w:w="1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  <w:woUserID w:val="2"/>
              </w:rPr>
              <w:t>15130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8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24"/>
                <w:szCs w:val="24"/>
                <w:lang w:val="en-US" w:eastAsia="zh-CN" w:bidi="ar"/>
                <w:woUserID w:val="2"/>
              </w:rPr>
              <w:t>设备设施类项目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eastAsia="仿宋_GB2312" w:cs="仿宋_GB2312"/>
                <w:b/>
                <w:bCs/>
                <w:kern w:val="2"/>
                <w:sz w:val="24"/>
                <w:szCs w:val="24"/>
                <w:woUserID w:val="2"/>
              </w:rPr>
              <w:t>31.6</w:t>
            </w:r>
          </w:p>
        </w:tc>
        <w:tc>
          <w:tcPr>
            <w:tcW w:w="1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24"/>
                <w:szCs w:val="24"/>
                <w:lang w:val="en-US" w:eastAsia="zh-CN" w:bidi="ar"/>
                <w:woUserID w:val="2"/>
              </w:rPr>
              <w:t>252.4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8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  <w:woUserID w:val="2"/>
              </w:rPr>
              <w:t>新增项目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  <w:t>-</w:t>
            </w:r>
          </w:p>
        </w:tc>
        <w:tc>
          <w:tcPr>
            <w:tcW w:w="1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  <w:woUserID w:val="2"/>
              </w:rPr>
              <w:t>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8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  <w:woUserID w:val="2"/>
              </w:rPr>
              <w:t>每年常规项目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  <w:t>25</w:t>
            </w:r>
          </w:p>
        </w:tc>
        <w:tc>
          <w:tcPr>
            <w:tcW w:w="1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  <w:woUserID w:val="2"/>
              </w:rPr>
              <w:t>118.9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8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  <w:woUserID w:val="2"/>
              </w:rPr>
              <w:t>结转项目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  <w:t>6.6</w:t>
            </w:r>
          </w:p>
        </w:tc>
        <w:tc>
          <w:tcPr>
            <w:tcW w:w="1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  <w:woUserID w:val="2"/>
              </w:rPr>
              <w:t>89.5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8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24"/>
                <w:szCs w:val="24"/>
                <w:lang w:val="en-US" w:eastAsia="zh-CN" w:bidi="ar"/>
                <w:woUserID w:val="2"/>
              </w:rPr>
              <w:t>房产维修类项目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eastAsia="仿宋_GB2312" w:cs="仿宋_GB2312"/>
                <w:b/>
                <w:bCs/>
                <w:kern w:val="2"/>
                <w:sz w:val="24"/>
                <w:szCs w:val="24"/>
                <w:woUserID w:val="2"/>
              </w:rPr>
              <w:t>37</w:t>
            </w:r>
          </w:p>
        </w:tc>
        <w:tc>
          <w:tcPr>
            <w:tcW w:w="1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24"/>
                <w:szCs w:val="24"/>
                <w:lang w:val="en-US" w:eastAsia="zh-CN" w:bidi="ar"/>
                <w:woUserID w:val="2"/>
              </w:rPr>
              <w:t>703.3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8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  <w:woUserID w:val="2"/>
              </w:rPr>
              <w:t>新增项目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  <w:t>-</w:t>
            </w:r>
          </w:p>
        </w:tc>
        <w:tc>
          <w:tcPr>
            <w:tcW w:w="1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  <w:woUserID w:val="2"/>
              </w:rPr>
              <w:t>581.3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8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  <w:woUserID w:val="2"/>
              </w:rPr>
              <w:t>结转项目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  <w:t>37</w:t>
            </w:r>
          </w:p>
        </w:tc>
        <w:tc>
          <w:tcPr>
            <w:tcW w:w="1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仿宋_GB2312" w:eastAsia="仿宋_GB2312" w:cs="仿宋_GB2312"/>
                <w:b w:val="0"/>
                <w:bCs w:val="0"/>
                <w:kern w:val="2"/>
                <w:sz w:val="24"/>
                <w:szCs w:val="24"/>
                <w:woUserID w:val="2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  <w:woUserID w:val="2"/>
              </w:rPr>
              <w:t>122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default"/>
          <w:highlight w:val="none"/>
          <w:lang w:val="en-US" w:eastAsia="zh-CN"/>
        </w:rPr>
      </w:pPr>
    </w:p>
    <w:sectPr>
      <w:headerReference r:id="rId4" w:type="default"/>
      <w:footerReference r:id="rId5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altName w:val="汉仪仿宋KW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汉仪楷体KW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QisiAaBanSong">
    <w:altName w:val="汉仪中黑KW"/>
    <w:panose1 w:val="00000000000000000000"/>
    <w:charset w:val="86"/>
    <w:family w:val="auto"/>
    <w:pitch w:val="default"/>
    <w:sig w:usb0="00000000" w:usb1="00000000" w:usb2="00000016" w:usb3="00000000" w:csb0="0004009F" w:csb1="DFD70000"/>
  </w:font>
  <w:font w:name="华文新魏">
    <w:altName w:val="思源黑体 CN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思源黑体 CN">
    <w:panose1 w:val="020B0500000000000000"/>
    <w:charset w:val="86"/>
    <w:family w:val="auto"/>
    <w:pitch w:val="default"/>
    <w:sig w:usb0="2000008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r>
        <w:separator/>
      </w:r>
    </w:p>
  </w:footnote>
  <w:footnote w:type="continuationSeparator" w:id="5">
    <w:p>
      <w:r>
        <w:continuationSeparator/>
      </w:r>
    </w:p>
  </w:footnote>
  <w:footnote w:id="0">
    <w:p>
      <w:pPr>
        <w:pStyle w:val="10"/>
        <w:snapToGrid w:val="0"/>
        <w:rPr>
          <w:rFonts w:hint="default"/>
          <w:woUserID w:val="3"/>
        </w:rPr>
      </w:pPr>
      <w:r>
        <w:rPr>
          <w:rStyle w:val="16"/>
        </w:rPr>
        <w:footnoteRef/>
      </w:r>
      <w:r>
        <w:t xml:space="preserve"> </w:t>
      </w:r>
      <w:r>
        <w:rPr>
          <w:woUserID w:val="3"/>
        </w:rPr>
        <w:t>核心主业=集团营收-中油九洲北斗营收-九洲聚力营收-贸易营收（九洲电器、九强、线缆）</w:t>
      </w:r>
    </w:p>
  </w:footnote>
  <w:footnote w:id="1">
    <w:p>
      <w:pPr>
        <w:pStyle w:val="10"/>
        <w:snapToGrid w:val="0"/>
        <w:rPr>
          <w:rFonts w:hint="default"/>
          <w:woUserID w:val="4"/>
        </w:rPr>
      </w:pPr>
      <w:r>
        <w:rPr>
          <w:rStyle w:val="16"/>
        </w:rPr>
        <w:footnoteRef/>
      </w:r>
      <w:r>
        <w:t xml:space="preserve"> </w:t>
      </w:r>
      <w:r>
        <w:rPr>
          <w:woUserID w:val="4"/>
        </w:rPr>
        <w:t>当年资金收支差=经营活动净额+投资活动净额+筹资活动净额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spacing w:line="300" w:lineRule="exact"/>
      <w:jc w:val="left"/>
      <w:rPr>
        <w:rFonts w:ascii="QisiAaBanSong" w:hAnsi="QisiAaBanSong" w:eastAsia="QisiAaBanSong" w:cs="QisiAaBanSong"/>
        <w:bCs/>
        <w:color w:val="657D9D" w:themeColor="text2" w:themeTint="BF"/>
        <w:spacing w:val="-20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/>
        <w:color w:val="FF0000"/>
        <w:spacing w:val="-20"/>
        <w:kern w:val="0"/>
        <w:sz w:val="28"/>
        <w:szCs w:val="28"/>
      </w:rPr>
      <w:t xml:space="preserve">      </w:t>
    </w:r>
    <w:r>
      <w:rPr>
        <w:rFonts w:hint="eastAsia" w:ascii="QisiAaBanSong" w:hAnsi="QisiAaBanSong" w:eastAsia="QisiAaBanSong" w:cs="QisiAaBanSong"/>
        <w:bCs/>
        <w:color w:val="FF0000"/>
        <w:spacing w:val="-20"/>
        <w:kern w:val="0"/>
        <w:sz w:val="22"/>
        <w:szCs w:val="22"/>
      </w:rPr>
      <w:t xml:space="preserve">                                                                                          </w:t>
    </w:r>
    <w:r>
      <w:rPr>
        <w:rFonts w:hint="eastAsia" w:ascii="QisiAaBanSong" w:hAnsi="QisiAaBanSong" w:eastAsia="QisiAaBanSong" w:cs="QisiAaBanSong"/>
        <w:bCs/>
        <w:color w:val="FF0000"/>
        <w:spacing w:val="-20"/>
        <w:kern w:val="0"/>
        <w:sz w:val="22"/>
        <w:szCs w:val="22"/>
        <w:lang w:val="en-US" w:eastAsia="zh-CN"/>
      </w:rPr>
      <w:t xml:space="preserve">      </w:t>
    </w:r>
    <w:r>
      <w:rPr>
        <w:rFonts w:hint="eastAsia" w:ascii="QisiAaBanSong" w:hAnsi="QisiAaBanSong" w:eastAsia="QisiAaBanSong" w:cs="QisiAaBanSong"/>
        <w:bCs/>
        <w:color w:val="657D9D" w:themeColor="text2" w:themeTint="BF"/>
        <w:spacing w:val="-20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客户第一  奋斗为本</w:t>
    </w:r>
  </w:p>
  <w:p>
    <w:pPr>
      <w:pStyle w:val="9"/>
      <w:spacing w:line="300" w:lineRule="exact"/>
      <w:rPr>
        <w:rFonts w:ascii="QisiAaBanSong" w:hAnsi="QisiAaBanSong" w:eastAsia="QisiAaBanSong" w:cs="QisiAaBanSong"/>
        <w:bCs/>
        <w:color w:val="657D9D" w:themeColor="text2" w:themeTint="BF"/>
        <w:spacing w:val="-20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华文新魏" w:hAnsi="Times New Roman" w:eastAsia="华文新魏" w:cs="Times New Roman"/>
        <w:b/>
        <w:color w:val="FF0000"/>
        <w:spacing w:val="-20"/>
        <w:kern w:val="0"/>
        <w:sz w:val="44"/>
        <w:szCs w:val="44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10795</wp:posOffset>
          </wp:positionV>
          <wp:extent cx="1913890" cy="241935"/>
          <wp:effectExtent l="0" t="0" r="10160" b="5715"/>
          <wp:wrapTight wrapText="bothSides">
            <wp:wrapPolygon>
              <wp:start x="215" y="0"/>
              <wp:lineTo x="0" y="1644"/>
              <wp:lineTo x="0" y="19729"/>
              <wp:lineTo x="2365" y="19729"/>
              <wp:lineTo x="21285" y="18085"/>
              <wp:lineTo x="21285" y="3288"/>
              <wp:lineTo x="2365" y="0"/>
              <wp:lineTo x="215" y="0"/>
            </wp:wrapPolygon>
          </wp:wrapTight>
          <wp:docPr id="8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Cs/>
        <w:color w:val="657D9D" w:themeColor="text2" w:themeTint="BF"/>
        <w:spacing w:val="-20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</w:t>
    </w:r>
    <w:r>
      <w:rPr>
        <w:rFonts w:hint="eastAsia" w:ascii="QisiAaBanSong" w:hAnsi="QisiAaBanSong" w:eastAsia="QisiAaBanSong" w:cs="QisiAaBanSong"/>
        <w:bCs/>
        <w:color w:val="657D9D" w:themeColor="text2" w:themeTint="BF"/>
        <w:spacing w:val="-20"/>
        <w:kern w:val="0"/>
        <w:sz w:val="21"/>
        <w:szCs w:val="21"/>
        <w:lang w:val="en-US" w:eastAsia="zh-CN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</w:t>
    </w:r>
    <w:r>
      <w:rPr>
        <w:rFonts w:hint="eastAsia" w:ascii="QisiAaBanSong" w:hAnsi="QisiAaBanSong" w:eastAsia="QisiAaBanSong" w:cs="QisiAaBanSong"/>
        <w:bCs/>
        <w:color w:val="657D9D" w:themeColor="text2" w:themeTint="BF"/>
        <w:spacing w:val="-20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整体至上  团结协作</w:t>
    </w:r>
  </w:p>
  <w:p>
    <w:pPr>
      <w:pStyle w:val="9"/>
      <w:spacing w:line="300" w:lineRule="exact"/>
      <w:ind w:firstLine="7310" w:firstLineChars="4300"/>
      <w:jc w:val="left"/>
      <w:rPr>
        <w:rFonts w:ascii="QisiAaBanSong" w:hAnsi="QisiAaBanSong" w:eastAsia="QisiAaBanSong" w:cs="QisiAaBanSong"/>
        <w:bCs/>
        <w:color w:val="657D9D" w:themeColor="text2" w:themeTint="BF"/>
        <w:spacing w:val="-20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Cs/>
        <w:color w:val="657D9D" w:themeColor="text2" w:themeTint="BF"/>
        <w:spacing w:val="-20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自我革新  开放包容</w:t>
    </w:r>
  </w:p>
  <w:p>
    <w:pPr>
      <w:pStyle w:val="9"/>
      <w:jc w:val="both"/>
    </w:pPr>
    <w:r>
      <w:rPr>
        <w:rFonts w:hint="eastAsia" w:ascii="QisiAaBanSong" w:hAnsi="QisiAaBanSong" w:eastAsia="QisiAaBanSong" w:cs="QisiAaBanSong"/>
        <w:bCs/>
        <w:color w:val="657D9D" w:themeColor="text2" w:themeTint="BF"/>
        <w:spacing w:val="-23"/>
        <w:kern w:val="0"/>
        <w:sz w:val="21"/>
        <w:szCs w:val="21"/>
        <w:u w:val="single"/>
        <w:vertAlign w:val="superscript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77443D"/>
    <w:multiLevelType w:val="singleLevel"/>
    <w:tmpl w:val="7B77443D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4"/>
    <w:footnote w:id="5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zNDkzOGU1MmI4NmRjZjI5ZjgwMzA4NTIyMDQ1MzYifQ=="/>
  </w:docVars>
  <w:rsids>
    <w:rsidRoot w:val="78A96BAC"/>
    <w:rsid w:val="01933CA1"/>
    <w:rsid w:val="01934780"/>
    <w:rsid w:val="020E2058"/>
    <w:rsid w:val="037E320E"/>
    <w:rsid w:val="03CD7B25"/>
    <w:rsid w:val="03E5503B"/>
    <w:rsid w:val="04644B57"/>
    <w:rsid w:val="05281683"/>
    <w:rsid w:val="05A21435"/>
    <w:rsid w:val="05B66C8F"/>
    <w:rsid w:val="05C018BB"/>
    <w:rsid w:val="06D03D80"/>
    <w:rsid w:val="06D94F45"/>
    <w:rsid w:val="06FC90B1"/>
    <w:rsid w:val="07A974CA"/>
    <w:rsid w:val="08BFABC8"/>
    <w:rsid w:val="08ED6E6B"/>
    <w:rsid w:val="08FC0BBD"/>
    <w:rsid w:val="094845EA"/>
    <w:rsid w:val="0A8760F9"/>
    <w:rsid w:val="0AD57BB7"/>
    <w:rsid w:val="0AE75B3C"/>
    <w:rsid w:val="0C52066A"/>
    <w:rsid w:val="0CF87B8D"/>
    <w:rsid w:val="0CFA3FF5"/>
    <w:rsid w:val="0D3627FC"/>
    <w:rsid w:val="0D447276"/>
    <w:rsid w:val="0DA7401E"/>
    <w:rsid w:val="0E1C5AFD"/>
    <w:rsid w:val="0E3746E5"/>
    <w:rsid w:val="0F1B5EC7"/>
    <w:rsid w:val="0F423341"/>
    <w:rsid w:val="0F528FC1"/>
    <w:rsid w:val="0FA144FE"/>
    <w:rsid w:val="0FCA0FB9"/>
    <w:rsid w:val="0FDC41A3"/>
    <w:rsid w:val="10253B60"/>
    <w:rsid w:val="105F7F23"/>
    <w:rsid w:val="10772DC1"/>
    <w:rsid w:val="108C51BC"/>
    <w:rsid w:val="10B95885"/>
    <w:rsid w:val="118C4243"/>
    <w:rsid w:val="11DC7A7D"/>
    <w:rsid w:val="122032AB"/>
    <w:rsid w:val="125F245C"/>
    <w:rsid w:val="12E40071"/>
    <w:rsid w:val="12E8656E"/>
    <w:rsid w:val="12EC7695"/>
    <w:rsid w:val="130E6A2F"/>
    <w:rsid w:val="13244DAF"/>
    <w:rsid w:val="13653AA2"/>
    <w:rsid w:val="137797E9"/>
    <w:rsid w:val="13B642FE"/>
    <w:rsid w:val="13C814B1"/>
    <w:rsid w:val="14072DAB"/>
    <w:rsid w:val="1542409B"/>
    <w:rsid w:val="15450184"/>
    <w:rsid w:val="15517BA9"/>
    <w:rsid w:val="155838BF"/>
    <w:rsid w:val="15AE7982"/>
    <w:rsid w:val="15B151CD"/>
    <w:rsid w:val="15FC518A"/>
    <w:rsid w:val="16445BF1"/>
    <w:rsid w:val="16526560"/>
    <w:rsid w:val="165C118C"/>
    <w:rsid w:val="16CD5FA8"/>
    <w:rsid w:val="16EFEBB3"/>
    <w:rsid w:val="16FB21F9"/>
    <w:rsid w:val="17141A67"/>
    <w:rsid w:val="17AD199B"/>
    <w:rsid w:val="17B663BD"/>
    <w:rsid w:val="180E64B6"/>
    <w:rsid w:val="184C3483"/>
    <w:rsid w:val="186F7B25"/>
    <w:rsid w:val="18754787"/>
    <w:rsid w:val="18BB275D"/>
    <w:rsid w:val="191D00C0"/>
    <w:rsid w:val="19343AAA"/>
    <w:rsid w:val="197F4DD3"/>
    <w:rsid w:val="19A72AAF"/>
    <w:rsid w:val="1B09565B"/>
    <w:rsid w:val="1B100797"/>
    <w:rsid w:val="1B4D5129"/>
    <w:rsid w:val="1B5C7199"/>
    <w:rsid w:val="1B8E7017"/>
    <w:rsid w:val="1BBE2053"/>
    <w:rsid w:val="1BCFD149"/>
    <w:rsid w:val="1C3E350F"/>
    <w:rsid w:val="1C4F3541"/>
    <w:rsid w:val="1CBD035C"/>
    <w:rsid w:val="1CCC2A58"/>
    <w:rsid w:val="1CD27F54"/>
    <w:rsid w:val="1CDD2C27"/>
    <w:rsid w:val="1CF74B25"/>
    <w:rsid w:val="1CFBAD74"/>
    <w:rsid w:val="1D9E652E"/>
    <w:rsid w:val="1DE55663"/>
    <w:rsid w:val="1DFC3355"/>
    <w:rsid w:val="1DFFA0B4"/>
    <w:rsid w:val="1E937715"/>
    <w:rsid w:val="1EAC4C7B"/>
    <w:rsid w:val="1F2F9D7E"/>
    <w:rsid w:val="1F645556"/>
    <w:rsid w:val="1F770079"/>
    <w:rsid w:val="1FBF7FD8"/>
    <w:rsid w:val="1FEA24F2"/>
    <w:rsid w:val="1FEF032B"/>
    <w:rsid w:val="1FEF3071"/>
    <w:rsid w:val="1FF3FE75"/>
    <w:rsid w:val="1FFB4E06"/>
    <w:rsid w:val="20E76B55"/>
    <w:rsid w:val="213B3F00"/>
    <w:rsid w:val="21B93937"/>
    <w:rsid w:val="220F5F8B"/>
    <w:rsid w:val="227E06DD"/>
    <w:rsid w:val="22B365D8"/>
    <w:rsid w:val="232474D6"/>
    <w:rsid w:val="234E00AF"/>
    <w:rsid w:val="23DB3555"/>
    <w:rsid w:val="2472601F"/>
    <w:rsid w:val="24A93BB5"/>
    <w:rsid w:val="25062891"/>
    <w:rsid w:val="25302162"/>
    <w:rsid w:val="253B6B33"/>
    <w:rsid w:val="25754019"/>
    <w:rsid w:val="25891872"/>
    <w:rsid w:val="259D2A0B"/>
    <w:rsid w:val="25B71060"/>
    <w:rsid w:val="25BD0EF9"/>
    <w:rsid w:val="25C24D84"/>
    <w:rsid w:val="25D24FC7"/>
    <w:rsid w:val="274A5031"/>
    <w:rsid w:val="277F3201"/>
    <w:rsid w:val="27FEF963"/>
    <w:rsid w:val="283C0E1E"/>
    <w:rsid w:val="2886681A"/>
    <w:rsid w:val="28FA4E36"/>
    <w:rsid w:val="299C31FE"/>
    <w:rsid w:val="29B1687E"/>
    <w:rsid w:val="29B502FC"/>
    <w:rsid w:val="29C410CB"/>
    <w:rsid w:val="2A1C0F07"/>
    <w:rsid w:val="2B3A0F7A"/>
    <w:rsid w:val="2B8F3399"/>
    <w:rsid w:val="2BDD3059"/>
    <w:rsid w:val="2BDE6BEF"/>
    <w:rsid w:val="2BF7F754"/>
    <w:rsid w:val="2BFBBC92"/>
    <w:rsid w:val="2BFBF820"/>
    <w:rsid w:val="2C55425C"/>
    <w:rsid w:val="2C6170A5"/>
    <w:rsid w:val="2CB573F1"/>
    <w:rsid w:val="2E103922"/>
    <w:rsid w:val="2E2760CC"/>
    <w:rsid w:val="2E2E745B"/>
    <w:rsid w:val="2E383E35"/>
    <w:rsid w:val="2EB66E20"/>
    <w:rsid w:val="2EFE2396"/>
    <w:rsid w:val="2F2B1BEC"/>
    <w:rsid w:val="2F522CD5"/>
    <w:rsid w:val="2FA53301"/>
    <w:rsid w:val="2FDF3259"/>
    <w:rsid w:val="2FDFF7D7"/>
    <w:rsid w:val="2FEF5E33"/>
    <w:rsid w:val="30405DB5"/>
    <w:rsid w:val="305A13F9"/>
    <w:rsid w:val="30D65355"/>
    <w:rsid w:val="314D7490"/>
    <w:rsid w:val="315A0567"/>
    <w:rsid w:val="33086E14"/>
    <w:rsid w:val="337B4EF0"/>
    <w:rsid w:val="33BE0836"/>
    <w:rsid w:val="33FF9FFA"/>
    <w:rsid w:val="34143BD3"/>
    <w:rsid w:val="34653AFE"/>
    <w:rsid w:val="34767911"/>
    <w:rsid w:val="34AE2ADC"/>
    <w:rsid w:val="35043887"/>
    <w:rsid w:val="35237850"/>
    <w:rsid w:val="35C8535C"/>
    <w:rsid w:val="35E548A3"/>
    <w:rsid w:val="365437D6"/>
    <w:rsid w:val="365B4B65"/>
    <w:rsid w:val="36CC15BF"/>
    <w:rsid w:val="36D9BE2C"/>
    <w:rsid w:val="36E95DF2"/>
    <w:rsid w:val="36EBE799"/>
    <w:rsid w:val="3736D287"/>
    <w:rsid w:val="37384EA6"/>
    <w:rsid w:val="374B2EB7"/>
    <w:rsid w:val="377BD9A0"/>
    <w:rsid w:val="37850A85"/>
    <w:rsid w:val="37B32E21"/>
    <w:rsid w:val="37BA399D"/>
    <w:rsid w:val="37D23C3E"/>
    <w:rsid w:val="37D6E85C"/>
    <w:rsid w:val="37DE5D02"/>
    <w:rsid w:val="37FFD57D"/>
    <w:rsid w:val="383D17FD"/>
    <w:rsid w:val="38686D31"/>
    <w:rsid w:val="386A108F"/>
    <w:rsid w:val="386A72E1"/>
    <w:rsid w:val="38CD6A10"/>
    <w:rsid w:val="39225E0E"/>
    <w:rsid w:val="39477387"/>
    <w:rsid w:val="3955B511"/>
    <w:rsid w:val="395F671A"/>
    <w:rsid w:val="39AFCF6F"/>
    <w:rsid w:val="39BF9003"/>
    <w:rsid w:val="39CEB08B"/>
    <w:rsid w:val="39DFD073"/>
    <w:rsid w:val="3A175247"/>
    <w:rsid w:val="3AB7AA76"/>
    <w:rsid w:val="3AC16892"/>
    <w:rsid w:val="3AE81184"/>
    <w:rsid w:val="3AF783FB"/>
    <w:rsid w:val="3BDFD65C"/>
    <w:rsid w:val="3C10558B"/>
    <w:rsid w:val="3C3D16D6"/>
    <w:rsid w:val="3C4936B2"/>
    <w:rsid w:val="3C7CFD5D"/>
    <w:rsid w:val="3CB19F92"/>
    <w:rsid w:val="3D934BE4"/>
    <w:rsid w:val="3DBE17FC"/>
    <w:rsid w:val="3DE40E49"/>
    <w:rsid w:val="3DFA15E0"/>
    <w:rsid w:val="3E595E2E"/>
    <w:rsid w:val="3EBDCDF7"/>
    <w:rsid w:val="3EE002FD"/>
    <w:rsid w:val="3EF987C8"/>
    <w:rsid w:val="3EFDB1D7"/>
    <w:rsid w:val="3F143324"/>
    <w:rsid w:val="3F3F3888"/>
    <w:rsid w:val="3F55D751"/>
    <w:rsid w:val="3F75458E"/>
    <w:rsid w:val="3F7F718C"/>
    <w:rsid w:val="3FABF264"/>
    <w:rsid w:val="3FD33B90"/>
    <w:rsid w:val="3FD6525C"/>
    <w:rsid w:val="3FEABE95"/>
    <w:rsid w:val="3FF62FF8"/>
    <w:rsid w:val="3FFB3FD6"/>
    <w:rsid w:val="3FFD1E0B"/>
    <w:rsid w:val="3FFDB836"/>
    <w:rsid w:val="3FFFB805"/>
    <w:rsid w:val="410B7187"/>
    <w:rsid w:val="41267837"/>
    <w:rsid w:val="41581FC8"/>
    <w:rsid w:val="41BD6997"/>
    <w:rsid w:val="427A2817"/>
    <w:rsid w:val="434B46CF"/>
    <w:rsid w:val="43DC36E8"/>
    <w:rsid w:val="446C43E1"/>
    <w:rsid w:val="447705E8"/>
    <w:rsid w:val="44984265"/>
    <w:rsid w:val="44B45BF2"/>
    <w:rsid w:val="44F468B0"/>
    <w:rsid w:val="45240818"/>
    <w:rsid w:val="453A4394"/>
    <w:rsid w:val="4558476F"/>
    <w:rsid w:val="4579BE96"/>
    <w:rsid w:val="46D1677D"/>
    <w:rsid w:val="472D60AA"/>
    <w:rsid w:val="47555600"/>
    <w:rsid w:val="475AB25D"/>
    <w:rsid w:val="479F00DF"/>
    <w:rsid w:val="47AD2F34"/>
    <w:rsid w:val="47EC1AC1"/>
    <w:rsid w:val="47F70466"/>
    <w:rsid w:val="4A192915"/>
    <w:rsid w:val="4A7638C4"/>
    <w:rsid w:val="4AFA69D3"/>
    <w:rsid w:val="4BAE2A13"/>
    <w:rsid w:val="4BBD4386"/>
    <w:rsid w:val="4BEE09BD"/>
    <w:rsid w:val="4BFF35BA"/>
    <w:rsid w:val="4CAE1A3B"/>
    <w:rsid w:val="4CC7600D"/>
    <w:rsid w:val="4CF40BD0"/>
    <w:rsid w:val="4D31441A"/>
    <w:rsid w:val="4D5B2272"/>
    <w:rsid w:val="4D6C932F"/>
    <w:rsid w:val="4DF228A2"/>
    <w:rsid w:val="4DFFF8FF"/>
    <w:rsid w:val="4E15494F"/>
    <w:rsid w:val="4E46667C"/>
    <w:rsid w:val="4E6E017D"/>
    <w:rsid w:val="4E8C77B0"/>
    <w:rsid w:val="4EC33F0B"/>
    <w:rsid w:val="4F6F22B0"/>
    <w:rsid w:val="4FB850E2"/>
    <w:rsid w:val="4FEFAB18"/>
    <w:rsid w:val="4FFD05E3"/>
    <w:rsid w:val="50443E2C"/>
    <w:rsid w:val="50D77086"/>
    <w:rsid w:val="51FCDA2C"/>
    <w:rsid w:val="52374280"/>
    <w:rsid w:val="52AD43DD"/>
    <w:rsid w:val="52B85F8B"/>
    <w:rsid w:val="531620E8"/>
    <w:rsid w:val="53376A88"/>
    <w:rsid w:val="53542C10"/>
    <w:rsid w:val="5394552E"/>
    <w:rsid w:val="548360EC"/>
    <w:rsid w:val="55067F3A"/>
    <w:rsid w:val="55287EB0"/>
    <w:rsid w:val="553EA371"/>
    <w:rsid w:val="55794BB0"/>
    <w:rsid w:val="55D8161D"/>
    <w:rsid w:val="55EDDB4C"/>
    <w:rsid w:val="55EE5599"/>
    <w:rsid w:val="55F68ACF"/>
    <w:rsid w:val="561C5C67"/>
    <w:rsid w:val="5637521F"/>
    <w:rsid w:val="56E30533"/>
    <w:rsid w:val="56F3192B"/>
    <w:rsid w:val="56FBC84F"/>
    <w:rsid w:val="577763BC"/>
    <w:rsid w:val="577F3EDC"/>
    <w:rsid w:val="57AD1F79"/>
    <w:rsid w:val="57F6DA9E"/>
    <w:rsid w:val="57FBEB7E"/>
    <w:rsid w:val="57FFFCB8"/>
    <w:rsid w:val="58227637"/>
    <w:rsid w:val="583D6581"/>
    <w:rsid w:val="58613E05"/>
    <w:rsid w:val="58DEA166"/>
    <w:rsid w:val="595A03AE"/>
    <w:rsid w:val="597B3B2B"/>
    <w:rsid w:val="59941FB8"/>
    <w:rsid w:val="59E7D110"/>
    <w:rsid w:val="5A484177"/>
    <w:rsid w:val="5A7FB9C3"/>
    <w:rsid w:val="5AC8016B"/>
    <w:rsid w:val="5ACE03A2"/>
    <w:rsid w:val="5AEE56F8"/>
    <w:rsid w:val="5B2F6E9C"/>
    <w:rsid w:val="5B70435F"/>
    <w:rsid w:val="5B71BC66"/>
    <w:rsid w:val="5BB53353"/>
    <w:rsid w:val="5BB85531"/>
    <w:rsid w:val="5BF5B173"/>
    <w:rsid w:val="5BFED814"/>
    <w:rsid w:val="5CA767AA"/>
    <w:rsid w:val="5D3BC3EE"/>
    <w:rsid w:val="5D771497"/>
    <w:rsid w:val="5DDE39A5"/>
    <w:rsid w:val="5DEF9D37"/>
    <w:rsid w:val="5DF7AE84"/>
    <w:rsid w:val="5DF7E515"/>
    <w:rsid w:val="5DFF00ED"/>
    <w:rsid w:val="5E374F2E"/>
    <w:rsid w:val="5E66FA35"/>
    <w:rsid w:val="5EA26F25"/>
    <w:rsid w:val="5EE737D8"/>
    <w:rsid w:val="5EEFCD99"/>
    <w:rsid w:val="5EFA744D"/>
    <w:rsid w:val="5EFFABA9"/>
    <w:rsid w:val="5F261904"/>
    <w:rsid w:val="5F37766E"/>
    <w:rsid w:val="5F6D21CD"/>
    <w:rsid w:val="5F7386AC"/>
    <w:rsid w:val="5F7B3DA4"/>
    <w:rsid w:val="5FA51708"/>
    <w:rsid w:val="5FFDC896"/>
    <w:rsid w:val="5FFE05F4"/>
    <w:rsid w:val="5FFF47DA"/>
    <w:rsid w:val="5FFF6818"/>
    <w:rsid w:val="60202139"/>
    <w:rsid w:val="604F08B5"/>
    <w:rsid w:val="60C2740B"/>
    <w:rsid w:val="61B2747F"/>
    <w:rsid w:val="61D76EE6"/>
    <w:rsid w:val="61E3588B"/>
    <w:rsid w:val="61ED495B"/>
    <w:rsid w:val="627DD1A7"/>
    <w:rsid w:val="63AE5584"/>
    <w:rsid w:val="64C03547"/>
    <w:rsid w:val="64EA6F30"/>
    <w:rsid w:val="658B7F78"/>
    <w:rsid w:val="65AC50EF"/>
    <w:rsid w:val="65B754EE"/>
    <w:rsid w:val="65BAFE9E"/>
    <w:rsid w:val="66417840"/>
    <w:rsid w:val="66AC6E69"/>
    <w:rsid w:val="66F84D48"/>
    <w:rsid w:val="676DD0BD"/>
    <w:rsid w:val="67D621F8"/>
    <w:rsid w:val="67F0CA07"/>
    <w:rsid w:val="67F7FD44"/>
    <w:rsid w:val="67FD98DD"/>
    <w:rsid w:val="67FFF84C"/>
    <w:rsid w:val="68B57855"/>
    <w:rsid w:val="68DB550E"/>
    <w:rsid w:val="69132EFA"/>
    <w:rsid w:val="69A15597"/>
    <w:rsid w:val="69A9560C"/>
    <w:rsid w:val="69DD1FCD"/>
    <w:rsid w:val="69FC398E"/>
    <w:rsid w:val="6B6B68B2"/>
    <w:rsid w:val="6B760A05"/>
    <w:rsid w:val="6B8F9A4D"/>
    <w:rsid w:val="6B950C3A"/>
    <w:rsid w:val="6BB169FA"/>
    <w:rsid w:val="6BDFDC77"/>
    <w:rsid w:val="6BFFE655"/>
    <w:rsid w:val="6BFFF146"/>
    <w:rsid w:val="6C07FE83"/>
    <w:rsid w:val="6C5F0709"/>
    <w:rsid w:val="6CF26D64"/>
    <w:rsid w:val="6CF756CB"/>
    <w:rsid w:val="6D452D6D"/>
    <w:rsid w:val="6D9F4059"/>
    <w:rsid w:val="6DEDCEB9"/>
    <w:rsid w:val="6DEE8CAD"/>
    <w:rsid w:val="6DFB1D80"/>
    <w:rsid w:val="6DFFB809"/>
    <w:rsid w:val="6E0252EB"/>
    <w:rsid w:val="6EBFEDD7"/>
    <w:rsid w:val="6F4773BF"/>
    <w:rsid w:val="6F7D768E"/>
    <w:rsid w:val="6F7E1A0E"/>
    <w:rsid w:val="6FB7730D"/>
    <w:rsid w:val="6FBFEBBF"/>
    <w:rsid w:val="6FC35659"/>
    <w:rsid w:val="6FCC3E02"/>
    <w:rsid w:val="6FD56FE0"/>
    <w:rsid w:val="6FE2F08F"/>
    <w:rsid w:val="6FF77B5B"/>
    <w:rsid w:val="6FF9FB66"/>
    <w:rsid w:val="6FFE2639"/>
    <w:rsid w:val="6FFE2878"/>
    <w:rsid w:val="70241CE7"/>
    <w:rsid w:val="70B33311"/>
    <w:rsid w:val="713A123F"/>
    <w:rsid w:val="71663DE2"/>
    <w:rsid w:val="718166DC"/>
    <w:rsid w:val="71AB5C99"/>
    <w:rsid w:val="71D51F51"/>
    <w:rsid w:val="71FC3D99"/>
    <w:rsid w:val="721056AE"/>
    <w:rsid w:val="723B29AB"/>
    <w:rsid w:val="72DE664D"/>
    <w:rsid w:val="72E74AAF"/>
    <w:rsid w:val="72ED5B58"/>
    <w:rsid w:val="72F7CC33"/>
    <w:rsid w:val="735FBC91"/>
    <w:rsid w:val="737DDEC1"/>
    <w:rsid w:val="73865F9F"/>
    <w:rsid w:val="73A73A55"/>
    <w:rsid w:val="73BE6846"/>
    <w:rsid w:val="73DBF4D0"/>
    <w:rsid w:val="73FDA2ED"/>
    <w:rsid w:val="74D3178F"/>
    <w:rsid w:val="74DE0F54"/>
    <w:rsid w:val="7557416E"/>
    <w:rsid w:val="757936DE"/>
    <w:rsid w:val="757F24B3"/>
    <w:rsid w:val="75BE41ED"/>
    <w:rsid w:val="75CD3BF1"/>
    <w:rsid w:val="763064FE"/>
    <w:rsid w:val="76676633"/>
    <w:rsid w:val="7677EE3A"/>
    <w:rsid w:val="76BF2C17"/>
    <w:rsid w:val="76EBC69F"/>
    <w:rsid w:val="76F3B4D5"/>
    <w:rsid w:val="77076F7F"/>
    <w:rsid w:val="773F9EF6"/>
    <w:rsid w:val="774B9078"/>
    <w:rsid w:val="7751556F"/>
    <w:rsid w:val="777FF144"/>
    <w:rsid w:val="77A92C7B"/>
    <w:rsid w:val="77BF5268"/>
    <w:rsid w:val="77BF6AC3"/>
    <w:rsid w:val="77CFB28D"/>
    <w:rsid w:val="77D3EFB3"/>
    <w:rsid w:val="77D51D7B"/>
    <w:rsid w:val="77DBA5A5"/>
    <w:rsid w:val="77DC214C"/>
    <w:rsid w:val="77FE1EF6"/>
    <w:rsid w:val="77FE8352"/>
    <w:rsid w:val="77FF5F6D"/>
    <w:rsid w:val="78056103"/>
    <w:rsid w:val="780BE327"/>
    <w:rsid w:val="783C5CF3"/>
    <w:rsid w:val="78A96BAC"/>
    <w:rsid w:val="78BE1FA4"/>
    <w:rsid w:val="7936053E"/>
    <w:rsid w:val="79600030"/>
    <w:rsid w:val="79B03AE4"/>
    <w:rsid w:val="79C44CE3"/>
    <w:rsid w:val="79DFA776"/>
    <w:rsid w:val="79FDC03E"/>
    <w:rsid w:val="7A056423"/>
    <w:rsid w:val="7A1FBACC"/>
    <w:rsid w:val="7A57559F"/>
    <w:rsid w:val="7A7F3035"/>
    <w:rsid w:val="7ABE4C8F"/>
    <w:rsid w:val="7ABFB30A"/>
    <w:rsid w:val="7AEF0D72"/>
    <w:rsid w:val="7AFA27CD"/>
    <w:rsid w:val="7AFF98BC"/>
    <w:rsid w:val="7B3B6F46"/>
    <w:rsid w:val="7B7F1CA2"/>
    <w:rsid w:val="7B9FD9B4"/>
    <w:rsid w:val="7BABDDE7"/>
    <w:rsid w:val="7BB9ABB7"/>
    <w:rsid w:val="7BBD6F24"/>
    <w:rsid w:val="7BDE865A"/>
    <w:rsid w:val="7BEB5A09"/>
    <w:rsid w:val="7BEF651B"/>
    <w:rsid w:val="7BF74D82"/>
    <w:rsid w:val="7BFA44C7"/>
    <w:rsid w:val="7BFB4E9F"/>
    <w:rsid w:val="7BFC18F5"/>
    <w:rsid w:val="7BFF023D"/>
    <w:rsid w:val="7BFF2C9C"/>
    <w:rsid w:val="7BFF45FF"/>
    <w:rsid w:val="7C3D22FD"/>
    <w:rsid w:val="7C823A6C"/>
    <w:rsid w:val="7C9A18AD"/>
    <w:rsid w:val="7CAD1EEE"/>
    <w:rsid w:val="7CF2E81E"/>
    <w:rsid w:val="7CF57E0E"/>
    <w:rsid w:val="7CFEA3D5"/>
    <w:rsid w:val="7D6DB46D"/>
    <w:rsid w:val="7D78DA24"/>
    <w:rsid w:val="7D7F76D2"/>
    <w:rsid w:val="7D7FD6CD"/>
    <w:rsid w:val="7D93C3BA"/>
    <w:rsid w:val="7D9F0701"/>
    <w:rsid w:val="7DBDEB9A"/>
    <w:rsid w:val="7DC546A4"/>
    <w:rsid w:val="7DCED0AB"/>
    <w:rsid w:val="7DCED868"/>
    <w:rsid w:val="7DEAD7EA"/>
    <w:rsid w:val="7DF63BCF"/>
    <w:rsid w:val="7DF7E3DE"/>
    <w:rsid w:val="7DFCF998"/>
    <w:rsid w:val="7DFE9966"/>
    <w:rsid w:val="7DFED2A0"/>
    <w:rsid w:val="7DFED85B"/>
    <w:rsid w:val="7DFFD6DA"/>
    <w:rsid w:val="7E75D047"/>
    <w:rsid w:val="7E7DE689"/>
    <w:rsid w:val="7E9C7095"/>
    <w:rsid w:val="7EB7D7FE"/>
    <w:rsid w:val="7EBE24A9"/>
    <w:rsid w:val="7EBF9D40"/>
    <w:rsid w:val="7ED01F20"/>
    <w:rsid w:val="7EDDFEFD"/>
    <w:rsid w:val="7EDE4BE2"/>
    <w:rsid w:val="7EDFC949"/>
    <w:rsid w:val="7EE79A7D"/>
    <w:rsid w:val="7EF7638A"/>
    <w:rsid w:val="7EF7D7EA"/>
    <w:rsid w:val="7EFA268C"/>
    <w:rsid w:val="7EFD89A4"/>
    <w:rsid w:val="7F096DBB"/>
    <w:rsid w:val="7F1629A4"/>
    <w:rsid w:val="7F4F5BB7"/>
    <w:rsid w:val="7F6F9F28"/>
    <w:rsid w:val="7F7D4005"/>
    <w:rsid w:val="7F7EF457"/>
    <w:rsid w:val="7F7FDA95"/>
    <w:rsid w:val="7F9D4DFA"/>
    <w:rsid w:val="7FB7A4C2"/>
    <w:rsid w:val="7FB7FC0A"/>
    <w:rsid w:val="7FC44AF6"/>
    <w:rsid w:val="7FCF0AEE"/>
    <w:rsid w:val="7FD709B4"/>
    <w:rsid w:val="7FDABD5B"/>
    <w:rsid w:val="7FDFA0D6"/>
    <w:rsid w:val="7FE33944"/>
    <w:rsid w:val="7FE7B438"/>
    <w:rsid w:val="7FE9CE01"/>
    <w:rsid w:val="7FEAC83E"/>
    <w:rsid w:val="7FEFF3EA"/>
    <w:rsid w:val="7FF677C9"/>
    <w:rsid w:val="7FFA5358"/>
    <w:rsid w:val="7FFB2551"/>
    <w:rsid w:val="7FFB5B87"/>
    <w:rsid w:val="7FFBEFF9"/>
    <w:rsid w:val="7FFD8967"/>
    <w:rsid w:val="7FFEBBFE"/>
    <w:rsid w:val="7FFF1E92"/>
    <w:rsid w:val="7FFF4603"/>
    <w:rsid w:val="7FFF4BE9"/>
    <w:rsid w:val="7FFF70E9"/>
    <w:rsid w:val="7FFFE33D"/>
    <w:rsid w:val="7FFFE5A9"/>
    <w:rsid w:val="83FD2DEB"/>
    <w:rsid w:val="87AB189C"/>
    <w:rsid w:val="88FBE08F"/>
    <w:rsid w:val="897B29FC"/>
    <w:rsid w:val="8DF5A7E7"/>
    <w:rsid w:val="8E4F5327"/>
    <w:rsid w:val="8EFFBFC6"/>
    <w:rsid w:val="8F330369"/>
    <w:rsid w:val="917B7866"/>
    <w:rsid w:val="9B4F4A67"/>
    <w:rsid w:val="9B799D66"/>
    <w:rsid w:val="9CFBC1DC"/>
    <w:rsid w:val="9F6D8583"/>
    <w:rsid w:val="9F7D6CB3"/>
    <w:rsid w:val="9FC6C00B"/>
    <w:rsid w:val="9FDD1441"/>
    <w:rsid w:val="9FF6970E"/>
    <w:rsid w:val="A333014B"/>
    <w:rsid w:val="A79E8EF2"/>
    <w:rsid w:val="A79FC3DA"/>
    <w:rsid w:val="A7D722CE"/>
    <w:rsid w:val="A7EB206B"/>
    <w:rsid w:val="A87E143C"/>
    <w:rsid w:val="A9BFE83C"/>
    <w:rsid w:val="AA5B56CF"/>
    <w:rsid w:val="AAAD7F64"/>
    <w:rsid w:val="AB935338"/>
    <w:rsid w:val="ABFE02A5"/>
    <w:rsid w:val="ABFE1FB9"/>
    <w:rsid w:val="AD366EDF"/>
    <w:rsid w:val="ADBE637D"/>
    <w:rsid w:val="AED17E78"/>
    <w:rsid w:val="AEDBD189"/>
    <w:rsid w:val="AEEA137F"/>
    <w:rsid w:val="AEF7A8C7"/>
    <w:rsid w:val="AF2BECB8"/>
    <w:rsid w:val="AF7D4E7C"/>
    <w:rsid w:val="AF954488"/>
    <w:rsid w:val="AFA4D29F"/>
    <w:rsid w:val="AFC7801D"/>
    <w:rsid w:val="AFDFAFC9"/>
    <w:rsid w:val="AFED84E3"/>
    <w:rsid w:val="B22FF8ED"/>
    <w:rsid w:val="B3BF38CF"/>
    <w:rsid w:val="B5F90B5C"/>
    <w:rsid w:val="B63699A6"/>
    <w:rsid w:val="B7DB5174"/>
    <w:rsid w:val="B7F31EA0"/>
    <w:rsid w:val="B7FF54AC"/>
    <w:rsid w:val="B7FFD6BE"/>
    <w:rsid w:val="B9FFD665"/>
    <w:rsid w:val="BB7BDE3B"/>
    <w:rsid w:val="BBD96F60"/>
    <w:rsid w:val="BBF7D511"/>
    <w:rsid w:val="BBF7E0C3"/>
    <w:rsid w:val="BDBFBEFB"/>
    <w:rsid w:val="BDEAF109"/>
    <w:rsid w:val="BDECF255"/>
    <w:rsid w:val="BDFF0DB2"/>
    <w:rsid w:val="BE776089"/>
    <w:rsid w:val="BE9FED88"/>
    <w:rsid w:val="BED3F2EC"/>
    <w:rsid w:val="BEFBEA57"/>
    <w:rsid w:val="BEFE0903"/>
    <w:rsid w:val="BF697254"/>
    <w:rsid w:val="BF7F2823"/>
    <w:rsid w:val="BFAFD369"/>
    <w:rsid w:val="BFAFDD8A"/>
    <w:rsid w:val="BFD9C5AF"/>
    <w:rsid w:val="BFDB9A5A"/>
    <w:rsid w:val="BFDF8BC5"/>
    <w:rsid w:val="BFDF9CA5"/>
    <w:rsid w:val="BFFBA8A9"/>
    <w:rsid w:val="BFFDCCED"/>
    <w:rsid w:val="BFFF1637"/>
    <w:rsid w:val="BFFF41AC"/>
    <w:rsid w:val="C77EA283"/>
    <w:rsid w:val="C7BF5E82"/>
    <w:rsid w:val="C7E2527E"/>
    <w:rsid w:val="CACF2B05"/>
    <w:rsid w:val="CB3748B0"/>
    <w:rsid w:val="CDBC6AEA"/>
    <w:rsid w:val="CEFF3116"/>
    <w:rsid w:val="CF1F9EBA"/>
    <w:rsid w:val="CFDFA02C"/>
    <w:rsid w:val="CFF3FA17"/>
    <w:rsid w:val="D2EFB855"/>
    <w:rsid w:val="D3BD4055"/>
    <w:rsid w:val="D4E5F8DD"/>
    <w:rsid w:val="D59F4808"/>
    <w:rsid w:val="D5F6F1CF"/>
    <w:rsid w:val="D63F9087"/>
    <w:rsid w:val="D7E786D3"/>
    <w:rsid w:val="D7EF593C"/>
    <w:rsid w:val="D7FF2C22"/>
    <w:rsid w:val="D96F9CBA"/>
    <w:rsid w:val="D9B89A05"/>
    <w:rsid w:val="D9BF6ACD"/>
    <w:rsid w:val="DB6A9C93"/>
    <w:rsid w:val="DB7B6D9E"/>
    <w:rsid w:val="DB7FF49E"/>
    <w:rsid w:val="DBBF236D"/>
    <w:rsid w:val="DBE322D2"/>
    <w:rsid w:val="DBF57566"/>
    <w:rsid w:val="DBFFD085"/>
    <w:rsid w:val="DD453C78"/>
    <w:rsid w:val="DD79AE90"/>
    <w:rsid w:val="DDCFF54A"/>
    <w:rsid w:val="DDDEFA1D"/>
    <w:rsid w:val="DE95343F"/>
    <w:rsid w:val="DEAA73DA"/>
    <w:rsid w:val="DEBC3ACD"/>
    <w:rsid w:val="DEBEB22B"/>
    <w:rsid w:val="DED770A2"/>
    <w:rsid w:val="DEDF7B2D"/>
    <w:rsid w:val="DEDFD4D1"/>
    <w:rsid w:val="DEFBC796"/>
    <w:rsid w:val="DF3060DF"/>
    <w:rsid w:val="DF4FF9DD"/>
    <w:rsid w:val="DF56E76A"/>
    <w:rsid w:val="DF6B6303"/>
    <w:rsid w:val="DF77C42A"/>
    <w:rsid w:val="DFAFC28C"/>
    <w:rsid w:val="DFDD0E66"/>
    <w:rsid w:val="DFDEE9F6"/>
    <w:rsid w:val="DFF9A5B7"/>
    <w:rsid w:val="DFFCEF79"/>
    <w:rsid w:val="DFFDB1C4"/>
    <w:rsid w:val="E1CF33FD"/>
    <w:rsid w:val="E1D998D2"/>
    <w:rsid w:val="E1FAE40B"/>
    <w:rsid w:val="E3F82EFC"/>
    <w:rsid w:val="E3FF9DB3"/>
    <w:rsid w:val="E54F08CE"/>
    <w:rsid w:val="E5D61EE0"/>
    <w:rsid w:val="E5FDEC9B"/>
    <w:rsid w:val="E7AF37D8"/>
    <w:rsid w:val="E7BDD6E3"/>
    <w:rsid w:val="E7EB82C4"/>
    <w:rsid w:val="E7F3BBE6"/>
    <w:rsid w:val="E7FB51F3"/>
    <w:rsid w:val="E7FD836C"/>
    <w:rsid w:val="E9FF805F"/>
    <w:rsid w:val="EAB4E06B"/>
    <w:rsid w:val="EAFD9974"/>
    <w:rsid w:val="EB7E1ACD"/>
    <w:rsid w:val="EB7F5195"/>
    <w:rsid w:val="EBDED962"/>
    <w:rsid w:val="EC9FD95B"/>
    <w:rsid w:val="ECAADDD0"/>
    <w:rsid w:val="ECCB77D8"/>
    <w:rsid w:val="ECDBF83C"/>
    <w:rsid w:val="ED3D0D74"/>
    <w:rsid w:val="ED7F3C85"/>
    <w:rsid w:val="ED8FF3AF"/>
    <w:rsid w:val="EDCD8401"/>
    <w:rsid w:val="EDD7F152"/>
    <w:rsid w:val="EE79B8CB"/>
    <w:rsid w:val="EE7FDF24"/>
    <w:rsid w:val="EECD8EEE"/>
    <w:rsid w:val="EEEB3F24"/>
    <w:rsid w:val="EEEFCD51"/>
    <w:rsid w:val="EFA2F1E6"/>
    <w:rsid w:val="EFAD8095"/>
    <w:rsid w:val="EFB791AF"/>
    <w:rsid w:val="EFDDA22B"/>
    <w:rsid w:val="EFED480F"/>
    <w:rsid w:val="EFEEAE69"/>
    <w:rsid w:val="EFF6365E"/>
    <w:rsid w:val="EFF6841C"/>
    <w:rsid w:val="EFFB5E60"/>
    <w:rsid w:val="EFFB6612"/>
    <w:rsid w:val="EFFEF996"/>
    <w:rsid w:val="F17F6176"/>
    <w:rsid w:val="F2D3BA99"/>
    <w:rsid w:val="F3BE8299"/>
    <w:rsid w:val="F3DE15F9"/>
    <w:rsid w:val="F3FEEF40"/>
    <w:rsid w:val="F577D33A"/>
    <w:rsid w:val="F5E7026C"/>
    <w:rsid w:val="F5FF91B0"/>
    <w:rsid w:val="F65F68CF"/>
    <w:rsid w:val="F6DEB5B3"/>
    <w:rsid w:val="F6FBB030"/>
    <w:rsid w:val="F6FE6990"/>
    <w:rsid w:val="F70B2C7D"/>
    <w:rsid w:val="F73A692D"/>
    <w:rsid w:val="F757F8E1"/>
    <w:rsid w:val="F776FFDA"/>
    <w:rsid w:val="F79DCE44"/>
    <w:rsid w:val="F79F9D3B"/>
    <w:rsid w:val="F7ACEA50"/>
    <w:rsid w:val="F7AD41A6"/>
    <w:rsid w:val="F7BDE228"/>
    <w:rsid w:val="F7BE6DCB"/>
    <w:rsid w:val="F7FEF4BE"/>
    <w:rsid w:val="F7FFF967"/>
    <w:rsid w:val="F8E366F6"/>
    <w:rsid w:val="F98DC929"/>
    <w:rsid w:val="F9B5E704"/>
    <w:rsid w:val="F9DA818E"/>
    <w:rsid w:val="F9DB68C9"/>
    <w:rsid w:val="F9F79F9C"/>
    <w:rsid w:val="FA52B357"/>
    <w:rsid w:val="FA9ABD46"/>
    <w:rsid w:val="FAEDE5F9"/>
    <w:rsid w:val="FAFAC6F4"/>
    <w:rsid w:val="FAFF8A8E"/>
    <w:rsid w:val="FB3C5FFF"/>
    <w:rsid w:val="FB3F54CB"/>
    <w:rsid w:val="FB675D0A"/>
    <w:rsid w:val="FB7F9A20"/>
    <w:rsid w:val="FBB7363C"/>
    <w:rsid w:val="FBB74C53"/>
    <w:rsid w:val="FBBBC583"/>
    <w:rsid w:val="FBDA3A5A"/>
    <w:rsid w:val="FBEF306C"/>
    <w:rsid w:val="FBF7E977"/>
    <w:rsid w:val="FBF83262"/>
    <w:rsid w:val="FBF9A4B7"/>
    <w:rsid w:val="FBFDF013"/>
    <w:rsid w:val="FBFF52BE"/>
    <w:rsid w:val="FCF3E259"/>
    <w:rsid w:val="FD67DE69"/>
    <w:rsid w:val="FD736A82"/>
    <w:rsid w:val="FD7E8E1D"/>
    <w:rsid w:val="FD9D1999"/>
    <w:rsid w:val="FDAED452"/>
    <w:rsid w:val="FDD743C6"/>
    <w:rsid w:val="FDE98B6F"/>
    <w:rsid w:val="FDEF72AC"/>
    <w:rsid w:val="FDF33E34"/>
    <w:rsid w:val="FDF702D8"/>
    <w:rsid w:val="FDF8273A"/>
    <w:rsid w:val="FE5E3B9F"/>
    <w:rsid w:val="FE679A10"/>
    <w:rsid w:val="FE9E6C49"/>
    <w:rsid w:val="FEAB0966"/>
    <w:rsid w:val="FEBF9A40"/>
    <w:rsid w:val="FEC7D619"/>
    <w:rsid w:val="FEDDE26F"/>
    <w:rsid w:val="FEDF5BC0"/>
    <w:rsid w:val="FEF93078"/>
    <w:rsid w:val="FEFBB633"/>
    <w:rsid w:val="FEFDCA06"/>
    <w:rsid w:val="FEFE6A3D"/>
    <w:rsid w:val="FEFF03AD"/>
    <w:rsid w:val="FF2F1327"/>
    <w:rsid w:val="FF2FA9DC"/>
    <w:rsid w:val="FF2FB342"/>
    <w:rsid w:val="FF5239D4"/>
    <w:rsid w:val="FF54154C"/>
    <w:rsid w:val="FF5A1306"/>
    <w:rsid w:val="FF7B21AA"/>
    <w:rsid w:val="FF7FF74C"/>
    <w:rsid w:val="FF829CB3"/>
    <w:rsid w:val="FF897182"/>
    <w:rsid w:val="FF9B0E43"/>
    <w:rsid w:val="FF9B924C"/>
    <w:rsid w:val="FF9E0BAA"/>
    <w:rsid w:val="FF9F1173"/>
    <w:rsid w:val="FFA7CA56"/>
    <w:rsid w:val="FFAC6418"/>
    <w:rsid w:val="FFB8FEFE"/>
    <w:rsid w:val="FFBB5201"/>
    <w:rsid w:val="FFBBFE9A"/>
    <w:rsid w:val="FFCBAB50"/>
    <w:rsid w:val="FFCE77AD"/>
    <w:rsid w:val="FFCF2CFD"/>
    <w:rsid w:val="FFD9B7ED"/>
    <w:rsid w:val="FFDF2BCE"/>
    <w:rsid w:val="FFDF5C7C"/>
    <w:rsid w:val="FFDFC306"/>
    <w:rsid w:val="FFEB2291"/>
    <w:rsid w:val="FFEC35FB"/>
    <w:rsid w:val="FFEDC3FB"/>
    <w:rsid w:val="FFF339AA"/>
    <w:rsid w:val="FFF5577C"/>
    <w:rsid w:val="FFF6F76B"/>
    <w:rsid w:val="FFF75F32"/>
    <w:rsid w:val="FFF7EB45"/>
    <w:rsid w:val="FFFB26DC"/>
    <w:rsid w:val="FFFB3498"/>
    <w:rsid w:val="FFFDBF87"/>
    <w:rsid w:val="FFFF19A0"/>
    <w:rsid w:val="FFFF9CED"/>
    <w:rsid w:val="FFFFD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line="600" w:lineRule="exact"/>
      <w:ind w:left="1280" w:hanging="1280" w:hangingChars="40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1"/>
    <w:qFormat/>
    <w:uiPriority w:val="0"/>
    <w:pPr>
      <w:keepNext w:val="0"/>
      <w:keepLines w:val="0"/>
      <w:widowControl w:val="0"/>
      <w:suppressLineNumbers w:val="0"/>
      <w:spacing w:after="120" w:afterAutospacing="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  <w:style w:type="paragraph" w:styleId="7">
    <w:name w:val="Body Text Indent 2"/>
    <w:basedOn w:val="1"/>
    <w:next w:val="1"/>
    <w:qFormat/>
    <w:uiPriority w:val="0"/>
    <w:pPr>
      <w:spacing w:after="120" w:line="480" w:lineRule="auto"/>
      <w:ind w:left="420" w:leftChars="200"/>
    </w:pPr>
  </w:style>
  <w:style w:type="paragraph" w:styleId="8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1">
    <w:name w:val="Normal (Web)"/>
    <w:basedOn w:val="1"/>
    <w:qFormat/>
    <w:uiPriority w:val="0"/>
    <w:pPr>
      <w:widowControl/>
      <w:spacing w:before="0" w:beforeAutospacing="1" w:after="0" w:afterAutospacing="1"/>
      <w:ind w:left="0" w:right="0"/>
      <w:jc w:val="left"/>
    </w:pPr>
    <w:rPr>
      <w:rFonts w:ascii="宋体" w:hAnsi="宋体" w:eastAsia="宋体" w:cs="宋体"/>
      <w:kern w:val="0"/>
      <w:sz w:val="24"/>
      <w:szCs w:val="24"/>
      <w:lang w:val="en-US" w:eastAsia="zh-CN" w:bidi="ar"/>
    </w:rPr>
  </w:style>
  <w:style w:type="table" w:styleId="13">
    <w:name w:val="Table Grid"/>
    <w:basedOn w:val="1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footnote reference"/>
    <w:basedOn w:val="14"/>
    <w:qFormat/>
    <w:uiPriority w:val="0"/>
    <w:rPr>
      <w:vertAlign w:val="superscript"/>
    </w:rPr>
  </w:style>
  <w:style w:type="character" w:customStyle="1" w:styleId="17">
    <w:name w:val="font21"/>
    <w:basedOn w:val="1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8">
    <w:name w:val="font11"/>
    <w:basedOn w:val="14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19">
    <w:name w:val="font31"/>
    <w:basedOn w:val="14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20">
    <w:name w:val="15"/>
    <w:basedOn w:val="14"/>
    <w:qFormat/>
    <w:uiPriority w:val="0"/>
    <w:rPr>
      <w:rFonts w:hint="eastAsia" w:ascii="仿宋_GB2312" w:eastAsia="仿宋_GB2312" w:cs="仿宋_GB2312"/>
      <w:color w:val="000000"/>
      <w:sz w:val="24"/>
      <w:szCs w:val="24"/>
    </w:rPr>
  </w:style>
  <w:style w:type="character" w:customStyle="1" w:styleId="21">
    <w:name w:val="10"/>
    <w:basedOn w:val="14"/>
    <w:qFormat/>
    <w:uiPriority w:val="0"/>
    <w:rPr>
      <w:rFonts w:hint="default" w:ascii="Times New Roman" w:hAnsi="Times New Roman" w:cs="Times New Roman"/>
    </w:rPr>
  </w:style>
  <w:style w:type="paragraph" w:customStyle="1" w:styleId="22">
    <w:name w:val="List Paragraph"/>
    <w:basedOn w:val="1"/>
    <w:hidden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 WWO_feishu_20230531100529-62b4f7f279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2024-03-07T07:37:00Z</dcterms:created>
  <dc:creator>黑椒里脊</dc:creator>
  <cp:lastModifiedBy>cz</cp:lastModifiedBy>
  <dcterms:modified xsi:type="dcterms:W3CDTF">2024-05-16T10:57:50Z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16BAD9B03DE04C699D392E542E7F8C6F_13</vt:lpwstr>
  </property>
</Properties>
</file>