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BC841">
      <w:pPr>
        <w:jc w:val="center"/>
        <w:rPr>
          <w:rFonts w:hint="eastAsia" w:ascii="宋体" w:hAnsi="宋体" w:eastAsia="宋体" w:cs="宋体"/>
          <w:b/>
          <w:bCs/>
          <w:color w:val="auto"/>
          <w:sz w:val="84"/>
          <w:highlight w:val="none"/>
        </w:rPr>
      </w:pPr>
    </w:p>
    <w:p w14:paraId="5E406B3B">
      <w:pPr>
        <w:pStyle w:val="17"/>
        <w:rPr>
          <w:rFonts w:hint="eastAsia" w:ascii="宋体" w:hAnsi="宋体" w:eastAsia="宋体" w:cs="宋体"/>
          <w:color w:val="auto"/>
          <w:highlight w:val="none"/>
        </w:rPr>
      </w:pPr>
    </w:p>
    <w:p w14:paraId="5B58838A">
      <w:pPr>
        <w:jc w:val="center"/>
        <w:rPr>
          <w:rFonts w:hint="eastAsia" w:ascii="宋体" w:hAnsi="宋体" w:eastAsia="宋体" w:cs="宋体"/>
          <w:b/>
          <w:bCs/>
          <w:color w:val="auto"/>
          <w:sz w:val="120"/>
          <w:szCs w:val="120"/>
          <w:highlight w:val="none"/>
        </w:rPr>
      </w:pPr>
      <w:r>
        <w:rPr>
          <w:rFonts w:hint="eastAsia" w:ascii="宋体" w:hAnsi="宋体" w:eastAsia="宋体" w:cs="宋体"/>
          <w:b/>
          <w:bCs/>
          <w:color w:val="auto"/>
          <w:sz w:val="120"/>
          <w:szCs w:val="120"/>
          <w:highlight w:val="none"/>
        </w:rPr>
        <w:t>招 标 文 件</w:t>
      </w:r>
    </w:p>
    <w:p w14:paraId="284DBC8D">
      <w:pPr>
        <w:jc w:val="center"/>
        <w:rPr>
          <w:rFonts w:hint="eastAsia" w:ascii="宋体" w:hAnsi="宋体" w:eastAsia="宋体" w:cs="宋体"/>
          <w:b/>
          <w:bCs/>
          <w:color w:val="auto"/>
          <w:sz w:val="32"/>
          <w:highlight w:val="none"/>
        </w:rPr>
      </w:pPr>
    </w:p>
    <w:p w14:paraId="4AF23C6A">
      <w:pPr>
        <w:jc w:val="center"/>
        <w:rPr>
          <w:rFonts w:hint="eastAsia" w:ascii="宋体" w:hAnsi="宋体" w:eastAsia="宋体" w:cs="宋体"/>
          <w:b/>
          <w:bCs/>
          <w:color w:val="auto"/>
          <w:sz w:val="32"/>
          <w:highlight w:val="none"/>
        </w:rPr>
      </w:pPr>
    </w:p>
    <w:p w14:paraId="36E0CE5F">
      <w:pPr>
        <w:jc w:val="center"/>
        <w:rPr>
          <w:rFonts w:hint="eastAsia" w:ascii="宋体" w:hAnsi="宋体" w:eastAsia="宋体" w:cs="宋体"/>
          <w:b/>
          <w:bCs/>
          <w:color w:val="auto"/>
          <w:sz w:val="32"/>
          <w:highlight w:val="none"/>
        </w:rPr>
      </w:pPr>
    </w:p>
    <w:p w14:paraId="112B1DB7">
      <w:pPr>
        <w:ind w:left="317" w:leftChars="151"/>
        <w:rPr>
          <w:rFonts w:hint="eastAsia" w:ascii="宋体" w:hAnsi="宋体" w:eastAsia="宋体" w:cs="宋体"/>
          <w:b/>
          <w:color w:val="auto"/>
          <w:sz w:val="32"/>
          <w:szCs w:val="32"/>
          <w:highlight w:val="none"/>
        </w:rPr>
      </w:pPr>
    </w:p>
    <w:p w14:paraId="696E037C">
      <w:pPr>
        <w:ind w:left="317" w:leftChars="151"/>
        <w:rPr>
          <w:rFonts w:hint="eastAsia" w:ascii="宋体" w:hAnsi="宋体" w:eastAsia="宋体" w:cs="宋体"/>
          <w:b/>
          <w:bCs/>
          <w:color w:val="auto"/>
          <w:sz w:val="32"/>
          <w:highlight w:val="none"/>
          <w:lang w:eastAsia="zh-CN"/>
        </w:rPr>
      </w:pPr>
      <w:r>
        <w:rPr>
          <w:rFonts w:hint="eastAsia" w:ascii="宋体" w:hAnsi="宋体" w:eastAsia="宋体" w:cs="宋体"/>
          <w:b/>
          <w:color w:val="auto"/>
          <w:sz w:val="32"/>
          <w:szCs w:val="32"/>
          <w:highlight w:val="none"/>
        </w:rPr>
        <w:t>招标编号：</w:t>
      </w:r>
      <w:r>
        <w:rPr>
          <w:rFonts w:hint="eastAsia" w:ascii="宋体" w:hAnsi="宋体" w:eastAsia="宋体" w:cs="宋体"/>
          <w:b/>
          <w:color w:val="auto"/>
          <w:sz w:val="32"/>
          <w:szCs w:val="32"/>
          <w:highlight w:val="none"/>
          <w:lang w:eastAsia="zh-CN"/>
        </w:rPr>
        <w:t>SCGZ招【2025】12-02号</w:t>
      </w:r>
    </w:p>
    <w:p w14:paraId="33F484A3">
      <w:pPr>
        <w:ind w:left="2520" w:leftChars="172" w:hanging="2159" w:hangingChars="672"/>
        <w:rPr>
          <w:rFonts w:hint="eastAsia" w:ascii="宋体" w:hAnsi="宋体" w:eastAsia="宋体" w:cs="宋体"/>
          <w:b/>
          <w:color w:val="auto"/>
          <w:sz w:val="32"/>
          <w:szCs w:val="32"/>
          <w:highlight w:val="none"/>
        </w:rPr>
      </w:pPr>
    </w:p>
    <w:p w14:paraId="547BA46B">
      <w:pPr>
        <w:ind w:left="1901" w:leftChars="171" w:hanging="1542" w:hangingChars="48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项目名称：客服技术支持服务文件编制工具</w:t>
      </w:r>
    </w:p>
    <w:p w14:paraId="54F3CB7D">
      <w:pPr>
        <w:rPr>
          <w:rFonts w:hint="eastAsia" w:ascii="宋体" w:hAnsi="宋体" w:eastAsia="宋体" w:cs="宋体"/>
          <w:b/>
          <w:bCs/>
          <w:color w:val="auto"/>
          <w:sz w:val="32"/>
          <w:highlight w:val="none"/>
        </w:rPr>
      </w:pPr>
    </w:p>
    <w:p w14:paraId="0B086E12">
      <w:pPr>
        <w:jc w:val="center"/>
        <w:rPr>
          <w:rFonts w:hint="eastAsia" w:ascii="宋体" w:hAnsi="宋体" w:eastAsia="宋体" w:cs="宋体"/>
          <w:b/>
          <w:bCs/>
          <w:color w:val="auto"/>
          <w:sz w:val="32"/>
          <w:highlight w:val="none"/>
        </w:rPr>
      </w:pPr>
    </w:p>
    <w:p w14:paraId="29FC0EA2">
      <w:pPr>
        <w:jc w:val="center"/>
        <w:rPr>
          <w:rFonts w:hint="eastAsia" w:ascii="宋体" w:hAnsi="宋体" w:eastAsia="宋体" w:cs="宋体"/>
          <w:b/>
          <w:bCs/>
          <w:color w:val="auto"/>
          <w:sz w:val="32"/>
          <w:highlight w:val="none"/>
        </w:rPr>
      </w:pPr>
    </w:p>
    <w:p w14:paraId="67EC9CC0">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中国·四川（绵阳）</w:t>
      </w:r>
    </w:p>
    <w:p w14:paraId="21E87219">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四川国锃招标代理有限公司</w:t>
      </w:r>
    </w:p>
    <w:p w14:paraId="2BD4E308">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color w:val="auto"/>
          <w:sz w:val="32"/>
          <w:szCs w:val="32"/>
          <w:highlight w:val="none"/>
        </w:rPr>
        <w:t>四川九洲空管科技有限责任公司</w:t>
      </w:r>
    </w:p>
    <w:p w14:paraId="6F3221CE">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共同编制</w:t>
      </w:r>
    </w:p>
    <w:p w14:paraId="5B7C5913">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2025年12月</w:t>
      </w:r>
    </w:p>
    <w:p w14:paraId="55AACF43">
      <w:pPr>
        <w:autoSpaceDE w:val="0"/>
        <w:autoSpaceDN w:val="0"/>
        <w:adjustRightInd w:val="0"/>
        <w:jc w:val="center"/>
        <w:rPr>
          <w:rFonts w:hint="eastAsia" w:ascii="宋体" w:hAnsi="宋体" w:eastAsia="宋体" w:cs="宋体"/>
          <w:b/>
          <w:bCs/>
          <w:color w:val="auto"/>
          <w:sz w:val="32"/>
          <w:highlight w:val="none"/>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35BDE95B">
      <w:pPr>
        <w:autoSpaceDE w:val="0"/>
        <w:autoSpaceDN w:val="0"/>
        <w:adjustRightInd w:val="0"/>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目    录</w:t>
      </w:r>
    </w:p>
    <w:p w14:paraId="007DF1B4">
      <w:pPr>
        <w:pStyle w:val="30"/>
        <w:tabs>
          <w:tab w:val="right" w:leader="dot" w:pos="8426"/>
        </w:tabs>
        <w:rPr>
          <w:rFonts w:hint="eastAsia" w:ascii="宋体" w:hAnsi="宋体" w:eastAsia="宋体" w:cs="宋体"/>
          <w:color w:val="auto"/>
          <w:highlight w:val="none"/>
        </w:rPr>
      </w:pPr>
      <w:bookmarkStart w:id="0" w:name="_Toc248313637"/>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TOC \o "1-3" \u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kern w:val="36"/>
          <w:szCs w:val="36"/>
          <w:highlight w:val="none"/>
        </w:rPr>
        <w:t>第一章  招标公告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_Toc20637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p>
    <w:p w14:paraId="615BB44D">
      <w:pPr>
        <w:pStyle w:val="30"/>
        <w:tabs>
          <w:tab w:val="right" w:leader="dot" w:pos="8426"/>
        </w:tabs>
        <w:rPr>
          <w:rFonts w:hint="eastAsia" w:ascii="宋体" w:hAnsi="宋体" w:eastAsia="宋体" w:cs="宋体"/>
          <w:color w:val="auto"/>
          <w:highlight w:val="none"/>
        </w:rPr>
      </w:pPr>
      <w:r>
        <w:rPr>
          <w:rFonts w:hint="eastAsia" w:ascii="宋体" w:hAnsi="宋体" w:eastAsia="宋体" w:cs="宋体"/>
          <w:color w:val="auto"/>
          <w:kern w:val="0"/>
          <w:szCs w:val="36"/>
          <w:highlight w:val="none"/>
        </w:rPr>
        <w:t>第二章  投标人须知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_Toc6015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p>
    <w:p w14:paraId="5AB74A14">
      <w:pPr>
        <w:pStyle w:val="30"/>
        <w:tabs>
          <w:tab w:val="right" w:leader="dot" w:pos="8426"/>
        </w:tabs>
        <w:rPr>
          <w:rFonts w:hint="eastAsia" w:ascii="宋体" w:hAnsi="宋体" w:eastAsia="宋体" w:cs="宋体"/>
          <w:color w:val="auto"/>
          <w:highlight w:val="none"/>
        </w:rPr>
      </w:pPr>
      <w:r>
        <w:rPr>
          <w:rFonts w:hint="eastAsia" w:ascii="宋体" w:hAnsi="宋体" w:eastAsia="宋体" w:cs="宋体"/>
          <w:color w:val="auto"/>
          <w:kern w:val="0"/>
          <w:szCs w:val="36"/>
          <w:highlight w:val="none"/>
        </w:rPr>
        <w:t>第三章  报价范围及商务报价要求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_Toc31075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p>
    <w:p w14:paraId="30103DE3">
      <w:pPr>
        <w:pStyle w:val="30"/>
        <w:tabs>
          <w:tab w:val="right" w:leader="dot" w:pos="8426"/>
        </w:tabs>
        <w:rPr>
          <w:rFonts w:hint="eastAsia" w:ascii="宋体" w:hAnsi="宋体" w:eastAsia="宋体" w:cs="宋体"/>
          <w:color w:val="auto"/>
          <w:highlight w:val="none"/>
        </w:rPr>
      </w:pPr>
      <w:r>
        <w:rPr>
          <w:rFonts w:hint="eastAsia" w:ascii="宋体" w:hAnsi="宋体" w:eastAsia="宋体" w:cs="宋体"/>
          <w:color w:val="auto"/>
          <w:kern w:val="0"/>
          <w:szCs w:val="36"/>
          <w:highlight w:val="none"/>
        </w:rPr>
        <w:t>第四章  评标办法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p>
    <w:p w14:paraId="672D3ADB">
      <w:pPr>
        <w:pStyle w:val="30"/>
        <w:tabs>
          <w:tab w:val="right" w:leader="dot" w:pos="8426"/>
        </w:tabs>
        <w:rPr>
          <w:rFonts w:hint="eastAsia" w:ascii="宋体" w:hAnsi="宋体" w:eastAsia="宋体" w:cs="宋体"/>
          <w:color w:val="auto"/>
          <w:highlight w:val="none"/>
        </w:rPr>
      </w:pPr>
      <w:r>
        <w:rPr>
          <w:rFonts w:hint="eastAsia" w:ascii="宋体" w:hAnsi="宋体" w:eastAsia="宋体" w:cs="宋体"/>
          <w:color w:val="auto"/>
          <w:kern w:val="0"/>
          <w:szCs w:val="36"/>
          <w:highlight w:val="none"/>
        </w:rPr>
        <w:t>第五章 技术标准和要求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_Toc26192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25</w:t>
      </w:r>
      <w:r>
        <w:rPr>
          <w:rFonts w:hint="eastAsia" w:ascii="宋体" w:hAnsi="宋体" w:eastAsia="宋体" w:cs="宋体"/>
          <w:color w:val="auto"/>
          <w:highlight w:val="none"/>
        </w:rPr>
        <w:fldChar w:fldCharType="end"/>
      </w:r>
    </w:p>
    <w:p w14:paraId="7B8570E5">
      <w:pPr>
        <w:pStyle w:val="30"/>
        <w:tabs>
          <w:tab w:val="right" w:leader="dot" w:pos="8426"/>
        </w:tabs>
        <w:rPr>
          <w:rFonts w:hint="eastAsia" w:ascii="宋体" w:hAnsi="宋体" w:eastAsia="宋体" w:cs="宋体"/>
          <w:color w:val="auto"/>
          <w:highlight w:val="none"/>
        </w:rPr>
      </w:pPr>
      <w:r>
        <w:rPr>
          <w:rFonts w:hint="eastAsia" w:ascii="宋体" w:hAnsi="宋体" w:eastAsia="宋体" w:cs="宋体"/>
          <w:color w:val="auto"/>
          <w:kern w:val="0"/>
          <w:szCs w:val="36"/>
          <w:highlight w:val="none"/>
        </w:rPr>
        <w:t>第六章 合同主要条款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_Toc13935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p>
    <w:p w14:paraId="4F8D519F">
      <w:pPr>
        <w:pStyle w:val="30"/>
        <w:tabs>
          <w:tab w:val="right" w:leader="dot" w:pos="8426"/>
        </w:tabs>
        <w:rPr>
          <w:rFonts w:hint="eastAsia" w:ascii="宋体" w:hAnsi="宋体" w:eastAsia="宋体" w:cs="宋体"/>
          <w:color w:val="auto"/>
          <w:highlight w:val="none"/>
        </w:rPr>
      </w:pPr>
      <w:r>
        <w:rPr>
          <w:rFonts w:hint="eastAsia" w:ascii="宋体" w:hAnsi="宋体" w:eastAsia="宋体" w:cs="宋体"/>
          <w:color w:val="auto"/>
          <w:szCs w:val="32"/>
          <w:highlight w:val="none"/>
        </w:rPr>
        <w:t>第七章 投标文件格式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_Toc27199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55</w:t>
      </w:r>
      <w:r>
        <w:rPr>
          <w:rFonts w:hint="eastAsia" w:ascii="宋体" w:hAnsi="宋体" w:eastAsia="宋体" w:cs="宋体"/>
          <w:color w:val="auto"/>
          <w:highlight w:val="none"/>
        </w:rPr>
        <w:fldChar w:fldCharType="end"/>
      </w:r>
    </w:p>
    <w:p w14:paraId="5C941917">
      <w:pPr>
        <w:tabs>
          <w:tab w:val="left" w:pos="1395"/>
          <w:tab w:val="center" w:pos="4535"/>
        </w:tabs>
        <w:spacing w:after="156" w:afterLines="50"/>
        <w:jc w:val="center"/>
        <w:outlineLvl w:val="0"/>
        <w:rPr>
          <w:rFonts w:hint="eastAsia" w:ascii="宋体" w:hAnsi="宋体" w:eastAsia="宋体" w:cs="宋体"/>
          <w:b/>
          <w:bCs/>
          <w:color w:val="auto"/>
          <w:sz w:val="36"/>
          <w:szCs w:val="36"/>
          <w:highlight w:val="none"/>
        </w:rPr>
      </w:pPr>
      <w:r>
        <w:rPr>
          <w:rFonts w:hint="eastAsia" w:ascii="宋体" w:hAnsi="宋体" w:eastAsia="宋体" w:cs="宋体"/>
          <w:color w:val="auto"/>
          <w:szCs w:val="30"/>
          <w:highlight w:val="none"/>
        </w:rPr>
        <w:fldChar w:fldCharType="end"/>
      </w:r>
      <w:bookmarkStart w:id="1" w:name="_Toc20637"/>
      <w:r>
        <w:rPr>
          <w:rFonts w:hint="eastAsia" w:ascii="宋体" w:hAnsi="宋体" w:eastAsia="宋体" w:cs="宋体"/>
          <w:color w:val="auto"/>
          <w:sz w:val="30"/>
          <w:szCs w:val="30"/>
          <w:highlight w:val="none"/>
        </w:rPr>
        <w:t xml:space="preserve"> </w:t>
      </w:r>
      <w:r>
        <w:rPr>
          <w:rFonts w:hint="eastAsia" w:ascii="宋体" w:hAnsi="宋体" w:eastAsia="宋体" w:cs="宋体"/>
          <w:b/>
          <w:bCs/>
          <w:color w:val="auto"/>
          <w:highlight w:val="none"/>
        </w:rPr>
        <w:br w:type="page"/>
      </w:r>
      <w:bookmarkStart w:id="2" w:name="_Toc24112403"/>
      <w:bookmarkStart w:id="3" w:name="_Toc286752012"/>
      <w:r>
        <w:rPr>
          <w:rFonts w:hint="eastAsia" w:ascii="宋体" w:hAnsi="宋体" w:eastAsia="宋体" w:cs="宋体"/>
          <w:b/>
          <w:bCs/>
          <w:color w:val="auto"/>
          <w:kern w:val="36"/>
          <w:sz w:val="36"/>
          <w:szCs w:val="36"/>
          <w:highlight w:val="none"/>
        </w:rPr>
        <w:t xml:space="preserve">第一章  </w:t>
      </w:r>
      <w:bookmarkEnd w:id="0"/>
      <w:bookmarkEnd w:id="2"/>
      <w:bookmarkEnd w:id="3"/>
      <w:bookmarkStart w:id="4" w:name="_Toc248313638"/>
      <w:r>
        <w:rPr>
          <w:rFonts w:hint="eastAsia" w:ascii="宋体" w:hAnsi="宋体" w:eastAsia="宋体" w:cs="宋体"/>
          <w:b/>
          <w:bCs/>
          <w:color w:val="auto"/>
          <w:kern w:val="36"/>
          <w:sz w:val="36"/>
          <w:szCs w:val="36"/>
          <w:highlight w:val="none"/>
        </w:rPr>
        <w:t>招标公告</w:t>
      </w:r>
      <w:bookmarkEnd w:id="1"/>
    </w:p>
    <w:p w14:paraId="71F68F1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受四川九洲空管科技有限责任公司委托，四川国锃招标代理有限公司现邀请合格的潜在投标人参与本项目投标。</w:t>
      </w:r>
    </w:p>
    <w:p w14:paraId="5C111331">
      <w:pPr>
        <w:pStyle w:val="82"/>
        <w:autoSpaceDE w:val="0"/>
        <w:autoSpaceDN w:val="0"/>
        <w:adjustRightInd w:val="0"/>
        <w:snapToGrid w:val="0"/>
        <w:spacing w:line="380" w:lineRule="exact"/>
        <w:ind w:left="780" w:hanging="360" w:firstLineChars="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1.项目名称及招标编号</w:t>
      </w:r>
    </w:p>
    <w:p w14:paraId="719EE725">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项目名称：客服技术支持服务文件编制工具</w:t>
      </w:r>
    </w:p>
    <w:p w14:paraId="7918EB5D">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招标编号：</w:t>
      </w:r>
      <w:r>
        <w:rPr>
          <w:rFonts w:hint="eastAsia" w:ascii="宋体" w:hAnsi="宋体" w:eastAsia="宋体" w:cs="宋体"/>
          <w:color w:val="auto"/>
          <w:kern w:val="0"/>
          <w:highlight w:val="none"/>
          <w:lang w:eastAsia="zh-CN"/>
        </w:rPr>
        <w:t>SCGZ招【2025】12-02号</w:t>
      </w:r>
    </w:p>
    <w:p w14:paraId="1BF187E8">
      <w:pPr>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2.招标概况与范围</w:t>
      </w:r>
    </w:p>
    <w:p w14:paraId="3FFD9790">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2.1 招标货物名称及数量</w:t>
      </w:r>
    </w:p>
    <w:tbl>
      <w:tblPr>
        <w:tblStyle w:val="47"/>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721"/>
        <w:gridCol w:w="1734"/>
        <w:gridCol w:w="2673"/>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70" w:type="dxa"/>
            <w:tcBorders>
              <w:bottom w:val="single" w:color="auto" w:sz="12" w:space="0"/>
            </w:tcBorders>
            <w:vAlign w:val="center"/>
          </w:tcPr>
          <w:p w14:paraId="3EC2DC21">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项目名称</w:t>
            </w:r>
          </w:p>
        </w:tc>
        <w:tc>
          <w:tcPr>
            <w:tcW w:w="2721" w:type="dxa"/>
            <w:tcBorders>
              <w:bottom w:val="single" w:color="auto" w:sz="12" w:space="0"/>
            </w:tcBorders>
            <w:vAlign w:val="center"/>
          </w:tcPr>
          <w:p w14:paraId="392F7D8A">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技术要求</w:t>
            </w:r>
          </w:p>
        </w:tc>
        <w:tc>
          <w:tcPr>
            <w:tcW w:w="1734" w:type="dxa"/>
            <w:tcBorders>
              <w:bottom w:val="single" w:color="auto" w:sz="12" w:space="0"/>
            </w:tcBorders>
            <w:vAlign w:val="center"/>
          </w:tcPr>
          <w:p w14:paraId="20E0A8CF">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交货期</w:t>
            </w:r>
          </w:p>
        </w:tc>
        <w:tc>
          <w:tcPr>
            <w:tcW w:w="2673" w:type="dxa"/>
            <w:tcBorders>
              <w:bottom w:val="single" w:color="auto" w:sz="12" w:space="0"/>
            </w:tcBorders>
            <w:vAlign w:val="center"/>
          </w:tcPr>
          <w:p w14:paraId="0EE02FC8">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70" w:type="dxa"/>
            <w:tcBorders>
              <w:top w:val="single" w:color="auto" w:sz="12" w:space="0"/>
            </w:tcBorders>
            <w:vAlign w:val="center"/>
          </w:tcPr>
          <w:p w14:paraId="03BED870">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客服技术支持服务文件编制工具</w:t>
            </w:r>
          </w:p>
        </w:tc>
        <w:tc>
          <w:tcPr>
            <w:tcW w:w="2721" w:type="dxa"/>
            <w:tcBorders>
              <w:top w:val="single" w:color="auto" w:sz="12" w:space="0"/>
            </w:tcBorders>
            <w:vAlign w:val="center"/>
          </w:tcPr>
          <w:p w14:paraId="59AB9A8E">
            <w:pPr>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详见第五章《技术标准和要求》</w:t>
            </w:r>
          </w:p>
        </w:tc>
        <w:tc>
          <w:tcPr>
            <w:tcW w:w="1734" w:type="dxa"/>
            <w:tcBorders>
              <w:top w:val="single" w:color="auto" w:sz="12" w:space="0"/>
            </w:tcBorders>
            <w:vAlign w:val="center"/>
          </w:tcPr>
          <w:p w14:paraId="65E51FAA">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自合同签订之日起，4个月内达到交付状态。</w:t>
            </w:r>
          </w:p>
        </w:tc>
        <w:tc>
          <w:tcPr>
            <w:tcW w:w="2673" w:type="dxa"/>
            <w:tcBorders>
              <w:top w:val="single" w:color="auto" w:sz="12" w:space="0"/>
            </w:tcBorders>
            <w:vAlign w:val="center"/>
          </w:tcPr>
          <w:p w14:paraId="50D4DB92">
            <w:pPr>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3.投标人资格条件要求</w:t>
      </w:r>
    </w:p>
    <w:p w14:paraId="4B7DE241">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253C0B0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具有履行合同所必需的设备和专业技术能力；</w:t>
      </w:r>
    </w:p>
    <w:p w14:paraId="26EADE3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7A527C3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73F0F228">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（1）本项目接受代理商投标。如代理商投标的，投标人需提供原厂商针对本项目的唯一授权书；</w:t>
      </w:r>
    </w:p>
    <w:p w14:paraId="62DD73F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（3）投标人和法定代表人近三年无行贿犯罪记录；</w:t>
      </w:r>
    </w:p>
    <w:p w14:paraId="18E5B3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3.8 本项目接受联合体投标。联合体参与投标的成员各方均应符合“投标人资格条件要求”中的3.1-3.7要求。联合体成员（含联合体牵头人）家数须不超过2家。联合体各方须签订联合体协议书，明确联合体牵头人和各方的工作和义务。联合体中各方不得再以自己名义单独或参加其他联合体在同一项目的招标活动。</w:t>
      </w:r>
    </w:p>
    <w:p w14:paraId="1F1C1213">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4.招标文件获取方式、时间、地点：</w:t>
      </w:r>
    </w:p>
    <w:p w14:paraId="2566D3CB">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招标文件自2025年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日至2025年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18</w:t>
      </w:r>
      <w:r>
        <w:rPr>
          <w:rFonts w:hint="eastAsia" w:ascii="宋体" w:hAnsi="宋体" w:eastAsia="宋体" w:cs="宋体"/>
          <w:color w:val="auto"/>
          <w:highlight w:val="none"/>
        </w:rPr>
        <w:t>日09:00-17:00（北京时间，法定节假日除外）在</w:t>
      </w:r>
      <w:r>
        <w:rPr>
          <w:rFonts w:hint="eastAsia" w:ascii="宋体" w:hAnsi="宋体" w:eastAsia="宋体" w:cs="宋体"/>
          <w:color w:val="auto"/>
          <w:highlight w:val="none"/>
          <w:u w:val="single"/>
        </w:rPr>
        <w:t>四川国锃招标代理有限公司（绵阳市科创园区科技路5号二楼）</w:t>
      </w:r>
      <w:r>
        <w:rPr>
          <w:rFonts w:hint="eastAsia" w:ascii="宋体" w:hAnsi="宋体" w:eastAsia="宋体" w:cs="宋体"/>
          <w:color w:val="auto"/>
          <w:highlight w:val="none"/>
        </w:rPr>
        <w:t>获取。</w:t>
      </w:r>
    </w:p>
    <w:p w14:paraId="7B17379D">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投标人根据自身实际情况，可任意选择以下方式进行报名：</w:t>
      </w:r>
    </w:p>
    <w:p w14:paraId="69AFAEDB">
      <w:pPr>
        <w:adjustRightInd w:val="0"/>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①现场报名：获取招标文件时，经办人员当场提交以下资料：投标人为法人或者其他组织的，需提供加盖公章的营业执照复印件、单位介绍信、经办人身份证复印件。</w:t>
      </w:r>
    </w:p>
    <w:p w14:paraId="5F404F8A">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②网上报名：将报名资料（投标人为法人或者其他组织的，需提供营业执照复印件、单位介绍信、经办人身份证复印件均需加盖公章。）发送444752103@qq.com，并备注项目名称、项目编号及联系方式（手机）。如未按照其要求提供报名资料的，为无效报名。</w:t>
      </w:r>
    </w:p>
    <w:p w14:paraId="1CAEAB33">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5.投标截止时间和开标时间：2025年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日</w:t>
      </w:r>
      <w:r>
        <w:rPr>
          <w:rFonts w:hint="eastAsia" w:ascii="宋体" w:hAnsi="宋体" w:eastAsia="宋体" w:cs="宋体"/>
          <w:color w:val="auto"/>
          <w:highlight w:val="none"/>
          <w:lang w:val="en-US" w:eastAsia="zh-CN"/>
        </w:rPr>
        <w:t>09</w:t>
      </w:r>
      <w:r>
        <w:rPr>
          <w:rFonts w:hint="eastAsia" w:ascii="宋体" w:hAnsi="宋体" w:eastAsia="宋体" w:cs="宋体"/>
          <w:color w:val="auto"/>
          <w:highlight w:val="none"/>
        </w:rPr>
        <w:t xml:space="preserve">时30分（北京时间）。   </w:t>
      </w:r>
    </w:p>
    <w:p w14:paraId="202825E8">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6.开标地点：</w:t>
      </w:r>
      <w:r>
        <w:rPr>
          <w:rFonts w:hint="eastAsia" w:ascii="宋体" w:hAnsi="宋体" w:eastAsia="宋体" w:cs="宋体"/>
          <w:color w:val="auto"/>
          <w:highlight w:val="none"/>
          <w:u w:val="single"/>
        </w:rPr>
        <w:t>四川国锃招标代理有限公司开标室（绵阳市科创园区科技路5号二楼）</w:t>
      </w:r>
      <w:r>
        <w:rPr>
          <w:rFonts w:hint="eastAsia" w:ascii="宋体" w:hAnsi="宋体" w:eastAsia="宋体" w:cs="宋体"/>
          <w:color w:val="auto"/>
          <w:highlight w:val="none"/>
        </w:rPr>
        <w:t>。</w:t>
      </w:r>
    </w:p>
    <w:p w14:paraId="0AE4E674">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6349E271">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8.联系方式</w:t>
      </w:r>
    </w:p>
    <w:p w14:paraId="24640BA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  标  人：四川九洲空管科技有限责任公司</w:t>
      </w:r>
    </w:p>
    <w:p w14:paraId="5DC06FE0">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420AA0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联  系  人：廖女士（商务） 0816-2469314</w:t>
      </w:r>
    </w:p>
    <w:p w14:paraId="41A83EE6">
      <w:pPr>
        <w:autoSpaceDE w:val="0"/>
        <w:autoSpaceDN w:val="0"/>
        <w:adjustRightInd w:val="0"/>
        <w:snapToGrid w:val="0"/>
        <w:spacing w:line="380" w:lineRule="exact"/>
        <w:ind w:firstLine="1680" w:firstLineChars="8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肖先生（技术）15328223708</w:t>
      </w:r>
    </w:p>
    <w:p w14:paraId="070FAA55">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2620D3F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1280C72C">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1655D4F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6D0ED71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联   系   人：陈  华 0816-2351166（报名咨询）</w:t>
      </w:r>
    </w:p>
    <w:p w14:paraId="0B8804F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p w14:paraId="75BF850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5F7F7585">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5A3ADE45">
      <w:pPr>
        <w:autoSpaceDE w:val="0"/>
        <w:autoSpaceDN w:val="0"/>
        <w:adjustRightInd w:val="0"/>
        <w:snapToGrid w:val="0"/>
        <w:spacing w:line="380" w:lineRule="exact"/>
        <w:ind w:firstLine="5460" w:firstLineChars="26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w:t>
      </w:r>
    </w:p>
    <w:p w14:paraId="19BB2657">
      <w:pPr>
        <w:autoSpaceDE w:val="0"/>
        <w:autoSpaceDN w:val="0"/>
        <w:adjustRightInd w:val="0"/>
        <w:snapToGrid w:val="0"/>
        <w:spacing w:line="360" w:lineRule="exact"/>
        <w:jc w:val="center"/>
        <w:outlineLvl w:val="0"/>
        <w:rPr>
          <w:rFonts w:hint="eastAsia" w:ascii="宋体" w:hAnsi="宋体" w:eastAsia="宋体" w:cs="宋体"/>
          <w:color w:val="auto"/>
          <w:kern w:val="0"/>
          <w:highlight w:val="none"/>
        </w:rPr>
      </w:pPr>
      <w:r>
        <w:rPr>
          <w:rFonts w:hint="eastAsia" w:ascii="宋体" w:hAnsi="宋体" w:eastAsia="宋体" w:cs="宋体"/>
          <w:color w:val="auto"/>
          <w:kern w:val="0"/>
          <w:highlight w:val="none"/>
        </w:rPr>
        <w:br w:type="page"/>
      </w:r>
      <w:bookmarkStart w:id="5" w:name="_Toc6015"/>
      <w:bookmarkStart w:id="6" w:name="_Toc24112404"/>
      <w:bookmarkStart w:id="7" w:name="_Toc286752013"/>
      <w:r>
        <w:rPr>
          <w:rFonts w:hint="eastAsia" w:ascii="宋体" w:hAnsi="宋体" w:eastAsia="宋体" w:cs="宋体"/>
          <w:b/>
          <w:color w:val="auto"/>
          <w:kern w:val="0"/>
          <w:sz w:val="36"/>
          <w:szCs w:val="36"/>
          <w:highlight w:val="none"/>
        </w:rPr>
        <w:t>第二章  投标人须知</w:t>
      </w:r>
      <w:bookmarkEnd w:id="4"/>
      <w:bookmarkEnd w:id="5"/>
      <w:bookmarkEnd w:id="6"/>
      <w:bookmarkEnd w:id="7"/>
    </w:p>
    <w:p w14:paraId="4E76ABE6">
      <w:pPr>
        <w:autoSpaceDE w:val="0"/>
        <w:autoSpaceDN w:val="0"/>
        <w:adjustRightInd w:val="0"/>
        <w:snapToGrid w:val="0"/>
        <w:spacing w:line="200" w:lineRule="exact"/>
        <w:ind w:firstLine="525" w:firstLineChars="250"/>
        <w:jc w:val="left"/>
        <w:rPr>
          <w:rFonts w:hint="eastAsia" w:ascii="宋体" w:hAnsi="宋体" w:eastAsia="宋体" w:cs="宋体"/>
          <w:color w:val="auto"/>
          <w:kern w:val="0"/>
          <w:highlight w:val="none"/>
        </w:rPr>
      </w:pPr>
    </w:p>
    <w:p w14:paraId="19128130">
      <w:pPr>
        <w:autoSpaceDE w:val="0"/>
        <w:autoSpaceDN w:val="0"/>
        <w:adjustRightInd w:val="0"/>
        <w:spacing w:line="413" w:lineRule="exact"/>
        <w:jc w:val="center"/>
        <w:outlineLvl w:val="1"/>
        <w:rPr>
          <w:rFonts w:hint="eastAsia" w:ascii="宋体" w:hAnsi="宋体" w:eastAsia="宋体" w:cs="宋体"/>
          <w:color w:val="auto"/>
          <w:kern w:val="0"/>
          <w:sz w:val="28"/>
          <w:szCs w:val="28"/>
          <w:highlight w:val="none"/>
        </w:rPr>
      </w:pPr>
      <w:bookmarkStart w:id="8" w:name="_Toc31214"/>
      <w:bookmarkStart w:id="9" w:name="_Toc248313639"/>
      <w:bookmarkStart w:id="10" w:name="_Toc24112405"/>
      <w:bookmarkStart w:id="11" w:name="_Toc286752014"/>
      <w:r>
        <w:rPr>
          <w:rFonts w:hint="eastAsia" w:ascii="宋体" w:hAnsi="宋体" w:eastAsia="宋体" w:cs="宋体"/>
          <w:color w:val="auto"/>
          <w:kern w:val="0"/>
          <w:sz w:val="28"/>
          <w:szCs w:val="28"/>
          <w:highlight w:val="none"/>
        </w:rPr>
        <w:t>一、投标人须知前附表</w:t>
      </w:r>
      <w:bookmarkEnd w:id="8"/>
      <w:bookmarkEnd w:id="9"/>
      <w:bookmarkEnd w:id="10"/>
      <w:bookmarkEnd w:id="11"/>
    </w:p>
    <w:p w14:paraId="3FC6F232">
      <w:pPr>
        <w:autoSpaceDE w:val="0"/>
        <w:autoSpaceDN w:val="0"/>
        <w:adjustRightInd w:val="0"/>
        <w:spacing w:line="200" w:lineRule="exact"/>
        <w:jc w:val="left"/>
        <w:rPr>
          <w:rFonts w:hint="eastAsia" w:ascii="宋体" w:hAnsi="宋体" w:eastAsia="宋体" w:cs="宋体"/>
          <w:b/>
          <w:color w:val="auto"/>
          <w:kern w:val="0"/>
          <w:highlight w:val="none"/>
        </w:rPr>
      </w:pPr>
    </w:p>
    <w:tbl>
      <w:tblPr>
        <w:tblStyle w:val="47"/>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7424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6F6033C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条款号</w:t>
            </w:r>
          </w:p>
        </w:tc>
        <w:tc>
          <w:tcPr>
            <w:tcW w:w="2386" w:type="dxa"/>
            <w:vAlign w:val="center"/>
          </w:tcPr>
          <w:p w14:paraId="035ABE8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条款名称</w:t>
            </w:r>
          </w:p>
        </w:tc>
        <w:tc>
          <w:tcPr>
            <w:tcW w:w="5206" w:type="dxa"/>
            <w:vAlign w:val="center"/>
          </w:tcPr>
          <w:p w14:paraId="3F32269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编列内容</w:t>
            </w:r>
          </w:p>
        </w:tc>
      </w:tr>
      <w:tr w14:paraId="259C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072223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w:t>
            </w:r>
          </w:p>
        </w:tc>
        <w:tc>
          <w:tcPr>
            <w:tcW w:w="2386" w:type="dxa"/>
            <w:vAlign w:val="center"/>
          </w:tcPr>
          <w:p w14:paraId="2BA16AB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招标人</w:t>
            </w:r>
          </w:p>
        </w:tc>
        <w:tc>
          <w:tcPr>
            <w:tcW w:w="5206" w:type="dxa"/>
          </w:tcPr>
          <w:p w14:paraId="69FF762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名  称：四川九洲空管科技有限责任公司</w:t>
            </w:r>
          </w:p>
          <w:p w14:paraId="54885E43">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2414B914">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联系人：廖女士（商务） 0816-2469314</w:t>
            </w:r>
          </w:p>
          <w:p w14:paraId="49F90D67">
            <w:pPr>
              <w:autoSpaceDE w:val="0"/>
              <w:autoSpaceDN w:val="0"/>
              <w:spacing w:line="380" w:lineRule="exact"/>
              <w:ind w:firstLine="840" w:firstLineChars="4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肖先生（技术）15328223708</w:t>
            </w:r>
          </w:p>
        </w:tc>
      </w:tr>
      <w:tr w14:paraId="3AE6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C79F2A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w:t>
            </w:r>
          </w:p>
        </w:tc>
        <w:tc>
          <w:tcPr>
            <w:tcW w:w="2386" w:type="dxa"/>
            <w:vAlign w:val="center"/>
          </w:tcPr>
          <w:p w14:paraId="14B1B57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招标代理机构</w:t>
            </w:r>
          </w:p>
        </w:tc>
        <w:tc>
          <w:tcPr>
            <w:tcW w:w="5206" w:type="dxa"/>
          </w:tcPr>
          <w:p w14:paraId="230FEC5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名  称：四川国锃招标代理有限公司</w:t>
            </w:r>
          </w:p>
          <w:p w14:paraId="5915A719">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3FB366D5">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05364E4C">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联系人：陈  华 0816-2351166（报名咨询）</w:t>
            </w:r>
          </w:p>
          <w:p w14:paraId="55F598B1">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tc>
      </w:tr>
      <w:tr w14:paraId="308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4C88CD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w:t>
            </w:r>
          </w:p>
        </w:tc>
        <w:tc>
          <w:tcPr>
            <w:tcW w:w="2386" w:type="dxa"/>
            <w:vAlign w:val="center"/>
          </w:tcPr>
          <w:p w14:paraId="3AC7F40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招标编号</w:t>
            </w:r>
          </w:p>
        </w:tc>
        <w:tc>
          <w:tcPr>
            <w:tcW w:w="5206" w:type="dxa"/>
          </w:tcPr>
          <w:p w14:paraId="27D7C967">
            <w:pPr>
              <w:autoSpaceDE w:val="0"/>
              <w:autoSpaceDN w:val="0"/>
              <w:adjustRightInd w:val="0"/>
              <w:spacing w:line="400" w:lineRule="exact"/>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SCGZ招【2025】12-02号</w:t>
            </w:r>
          </w:p>
        </w:tc>
      </w:tr>
      <w:tr w14:paraId="68B5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92BB7E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4</w:t>
            </w:r>
          </w:p>
        </w:tc>
        <w:tc>
          <w:tcPr>
            <w:tcW w:w="2386" w:type="dxa"/>
            <w:vAlign w:val="center"/>
          </w:tcPr>
          <w:p w14:paraId="767ECE4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招标项目名称</w:t>
            </w:r>
          </w:p>
        </w:tc>
        <w:tc>
          <w:tcPr>
            <w:tcW w:w="5206" w:type="dxa"/>
          </w:tcPr>
          <w:p w14:paraId="0E38EE22">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客服技术支持服务文件编制工具</w:t>
            </w:r>
          </w:p>
        </w:tc>
      </w:tr>
      <w:tr w14:paraId="686C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7CF320C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w:t>
            </w:r>
          </w:p>
        </w:tc>
        <w:tc>
          <w:tcPr>
            <w:tcW w:w="2386" w:type="dxa"/>
            <w:vAlign w:val="center"/>
          </w:tcPr>
          <w:p w14:paraId="6686D58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招标数量</w:t>
            </w:r>
          </w:p>
        </w:tc>
        <w:tc>
          <w:tcPr>
            <w:tcW w:w="5206" w:type="dxa"/>
          </w:tcPr>
          <w:p w14:paraId="1BFD7C5A">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1套</w:t>
            </w:r>
          </w:p>
        </w:tc>
      </w:tr>
      <w:tr w14:paraId="1F38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5A45C8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6</w:t>
            </w:r>
          </w:p>
        </w:tc>
        <w:tc>
          <w:tcPr>
            <w:tcW w:w="2386" w:type="dxa"/>
            <w:vAlign w:val="center"/>
          </w:tcPr>
          <w:p w14:paraId="3FAB99E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交货地点</w:t>
            </w:r>
          </w:p>
        </w:tc>
        <w:tc>
          <w:tcPr>
            <w:tcW w:w="5206" w:type="dxa"/>
          </w:tcPr>
          <w:p w14:paraId="2103737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四川省绵阳市四川九洲空管科技有限责任公司</w:t>
            </w:r>
          </w:p>
        </w:tc>
      </w:tr>
      <w:tr w14:paraId="36A0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6DECB5A">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7</w:t>
            </w:r>
          </w:p>
        </w:tc>
        <w:tc>
          <w:tcPr>
            <w:tcW w:w="2386" w:type="dxa"/>
            <w:vAlign w:val="center"/>
          </w:tcPr>
          <w:p w14:paraId="0CD2768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招标范围</w:t>
            </w:r>
          </w:p>
        </w:tc>
        <w:tc>
          <w:tcPr>
            <w:tcW w:w="5206" w:type="dxa"/>
          </w:tcPr>
          <w:p w14:paraId="4CB2405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见第三章“报价范围及商务报价要求” 。</w:t>
            </w:r>
          </w:p>
        </w:tc>
      </w:tr>
      <w:tr w14:paraId="3D0D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31EFB74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8</w:t>
            </w:r>
          </w:p>
        </w:tc>
        <w:tc>
          <w:tcPr>
            <w:tcW w:w="2386" w:type="dxa"/>
            <w:vAlign w:val="center"/>
          </w:tcPr>
          <w:p w14:paraId="1D3400E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交货期</w:t>
            </w:r>
          </w:p>
        </w:tc>
        <w:tc>
          <w:tcPr>
            <w:tcW w:w="5206" w:type="dxa"/>
            <w:vAlign w:val="center"/>
          </w:tcPr>
          <w:p w14:paraId="3DF4A19E">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自合同签订之日起，4个月内达到交付状态。</w:t>
            </w:r>
          </w:p>
        </w:tc>
      </w:tr>
      <w:tr w14:paraId="69C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7FF90E4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9</w:t>
            </w:r>
          </w:p>
        </w:tc>
        <w:tc>
          <w:tcPr>
            <w:tcW w:w="2386" w:type="dxa"/>
            <w:vAlign w:val="center"/>
          </w:tcPr>
          <w:p w14:paraId="0B282CE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技术和质量要求</w:t>
            </w:r>
          </w:p>
        </w:tc>
        <w:tc>
          <w:tcPr>
            <w:tcW w:w="5206" w:type="dxa"/>
            <w:vAlign w:val="center"/>
          </w:tcPr>
          <w:p w14:paraId="3EA828DD">
            <w:pPr>
              <w:autoSpaceDE w:val="0"/>
              <w:autoSpaceDN w:val="0"/>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见第五章“技术标准和要求”。</w:t>
            </w:r>
          </w:p>
        </w:tc>
      </w:tr>
      <w:tr w14:paraId="1D17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39FBB8A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10</w:t>
            </w:r>
          </w:p>
        </w:tc>
        <w:tc>
          <w:tcPr>
            <w:tcW w:w="2386" w:type="dxa"/>
            <w:vAlign w:val="center"/>
          </w:tcPr>
          <w:p w14:paraId="15D1491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投标人资质条件、能力和信誉</w:t>
            </w:r>
          </w:p>
        </w:tc>
        <w:tc>
          <w:tcPr>
            <w:tcW w:w="5206" w:type="dxa"/>
          </w:tcPr>
          <w:p w14:paraId="5983581D">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1.具有独立承担民事责任的能力，且在中国大陆（不含港澳台）注册并合法运营；</w:t>
            </w:r>
          </w:p>
          <w:p w14:paraId="1BA51894">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2.具有良好的商业信誉和健全的财务会计制度；</w:t>
            </w:r>
          </w:p>
          <w:p w14:paraId="4AB21D0C">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3.具有履行合同所必需的设备和专业技术能力；</w:t>
            </w:r>
          </w:p>
          <w:p w14:paraId="09A907AA">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4.具有依法缴纳税收和社会保障资金的良好记录；</w:t>
            </w:r>
          </w:p>
          <w:p w14:paraId="3F0BC1B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5.参加招标活动前三年内，在经营活动中没有重大违法记录；</w:t>
            </w:r>
          </w:p>
          <w:p w14:paraId="225F61E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6.法律、行政法规规定的其他条件；</w:t>
            </w:r>
          </w:p>
          <w:p w14:paraId="3DF2343A">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7.根据项目特殊要求设置的特定条件：</w:t>
            </w:r>
          </w:p>
          <w:p w14:paraId="73738EE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（1）本项目接受代理商投标。如代理商投标的，投标人需提供原厂商针对本项目的唯一授权书；</w:t>
            </w:r>
          </w:p>
          <w:p w14:paraId="67948DD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（2）法定代表人为中华人民共和国国籍，未拥有境外永久居留权（含港澳台）；</w:t>
            </w:r>
          </w:p>
          <w:p w14:paraId="5A33A12B">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（3）投标人和法定代表人近三年无行贿犯罪记录；</w:t>
            </w:r>
          </w:p>
          <w:p w14:paraId="1C31DC39">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（4）投标人未被“信用中国”或“中国执行信息公开网”网站列入失信被执行人名单。</w:t>
            </w:r>
          </w:p>
          <w:p w14:paraId="35471D5D">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8.本项目接受联合体投标。联合体参与投标的成员各方均应符合上述1-7项要求。联合体成员（含联合体牵头人）家数须不超过2家。联合体各方须签订联合体协议书，明确联合体牵头人和各方的工作和义务。联合体中各方不得再以自己名义单独或参加其他联合体在同一项目的招标活动。</w:t>
            </w:r>
          </w:p>
        </w:tc>
      </w:tr>
      <w:tr w14:paraId="486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54A1C2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11</w:t>
            </w:r>
          </w:p>
        </w:tc>
        <w:tc>
          <w:tcPr>
            <w:tcW w:w="2386" w:type="dxa"/>
            <w:vAlign w:val="center"/>
          </w:tcPr>
          <w:p w14:paraId="69FE4E5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是否接受联合体投标</w:t>
            </w:r>
          </w:p>
        </w:tc>
        <w:tc>
          <w:tcPr>
            <w:tcW w:w="5206" w:type="dxa"/>
          </w:tcPr>
          <w:p w14:paraId="63F33D92">
            <w:pPr>
              <w:autoSpaceDE w:val="0"/>
              <w:autoSpaceDN w:val="0"/>
              <w:adjustRightIn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是</w:t>
            </w:r>
          </w:p>
        </w:tc>
      </w:tr>
      <w:tr w14:paraId="28EC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66BBD833">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12</w:t>
            </w:r>
          </w:p>
        </w:tc>
        <w:tc>
          <w:tcPr>
            <w:tcW w:w="2386" w:type="dxa"/>
            <w:vAlign w:val="center"/>
          </w:tcPr>
          <w:p w14:paraId="56E3300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投标预备会及现场踏勘</w:t>
            </w:r>
          </w:p>
        </w:tc>
        <w:tc>
          <w:tcPr>
            <w:tcW w:w="5206" w:type="dxa"/>
          </w:tcPr>
          <w:p w14:paraId="004BB5FA">
            <w:pPr>
              <w:autoSpaceDE w:val="0"/>
              <w:autoSpaceDN w:val="0"/>
              <w:adjustRightIn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不召开</w:t>
            </w:r>
          </w:p>
        </w:tc>
      </w:tr>
      <w:tr w14:paraId="2A01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12B8C36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13</w:t>
            </w:r>
          </w:p>
        </w:tc>
        <w:tc>
          <w:tcPr>
            <w:tcW w:w="2386" w:type="dxa"/>
            <w:vAlign w:val="center"/>
          </w:tcPr>
          <w:p w14:paraId="7774A09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投标人提出问</w:t>
            </w:r>
          </w:p>
          <w:p w14:paraId="77D085D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题的截止时间</w:t>
            </w:r>
          </w:p>
        </w:tc>
        <w:tc>
          <w:tcPr>
            <w:tcW w:w="5206" w:type="dxa"/>
          </w:tcPr>
          <w:p w14:paraId="6113B135">
            <w:pPr>
              <w:adjustRightInd w:val="0"/>
              <w:snapToGrid w:val="0"/>
              <w:spacing w:before="156" w:beforeLines="50" w:line="40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应在</w:t>
            </w:r>
            <w:r>
              <w:rPr>
                <w:rFonts w:hint="eastAsia" w:ascii="宋体" w:hAnsi="宋体" w:eastAsia="宋体" w:cs="宋体"/>
                <w:color w:val="auto"/>
                <w:kern w:val="0"/>
                <w:highlight w:val="none"/>
              </w:rPr>
              <w:t>投标截止时间2日前一次性提出。</w:t>
            </w:r>
          </w:p>
        </w:tc>
      </w:tr>
      <w:tr w14:paraId="2EB4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9528CC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14</w:t>
            </w:r>
          </w:p>
        </w:tc>
        <w:tc>
          <w:tcPr>
            <w:tcW w:w="2386" w:type="dxa"/>
            <w:vAlign w:val="center"/>
          </w:tcPr>
          <w:p w14:paraId="3D9F99AB">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偏离</w:t>
            </w:r>
          </w:p>
        </w:tc>
        <w:tc>
          <w:tcPr>
            <w:tcW w:w="5206" w:type="dxa"/>
          </w:tcPr>
          <w:p w14:paraId="421C9E5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实质性条款不允许偏离，由评标委员会评审是否为实质性偏离</w:t>
            </w:r>
            <w:r>
              <w:rPr>
                <w:rFonts w:hint="eastAsia" w:ascii="宋体" w:hAnsi="宋体" w:eastAsia="宋体" w:cs="宋体"/>
                <w:color w:val="auto"/>
                <w:kern w:val="0"/>
                <w:highlight w:val="none"/>
              </w:rPr>
              <w:t>。</w:t>
            </w:r>
          </w:p>
        </w:tc>
      </w:tr>
      <w:tr w14:paraId="7756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3CE4E08B">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15</w:t>
            </w:r>
          </w:p>
        </w:tc>
        <w:tc>
          <w:tcPr>
            <w:tcW w:w="2386" w:type="dxa"/>
            <w:vAlign w:val="center"/>
          </w:tcPr>
          <w:p w14:paraId="7AAD8AF1">
            <w:pPr>
              <w:autoSpaceDE w:val="0"/>
              <w:autoSpaceDN w:val="0"/>
              <w:adjustRightInd w:val="0"/>
              <w:snapToGrid w:val="0"/>
              <w:spacing w:before="156" w:beforeLines="50"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是否允许递交备选投标方案</w:t>
            </w:r>
          </w:p>
        </w:tc>
        <w:tc>
          <w:tcPr>
            <w:tcW w:w="5206" w:type="dxa"/>
            <w:vAlign w:val="center"/>
          </w:tcPr>
          <w:p w14:paraId="0ED2F0FD">
            <w:pPr>
              <w:autoSpaceDE w:val="0"/>
              <w:autoSpaceDN w:val="0"/>
              <w:adjustRightInd w:val="0"/>
              <w:snapToGrid w:val="0"/>
              <w:spacing w:before="156" w:beforeLines="50"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本项目只允许投标人有一个投标方案，否则，其投标将被拒绝。</w:t>
            </w:r>
          </w:p>
        </w:tc>
      </w:tr>
      <w:tr w14:paraId="4DBE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569B5A4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16</w:t>
            </w:r>
          </w:p>
        </w:tc>
        <w:tc>
          <w:tcPr>
            <w:tcW w:w="2386" w:type="dxa"/>
            <w:vAlign w:val="center"/>
          </w:tcPr>
          <w:p w14:paraId="0B28A75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投标截止时间</w:t>
            </w:r>
          </w:p>
        </w:tc>
        <w:tc>
          <w:tcPr>
            <w:tcW w:w="5206" w:type="dxa"/>
            <w:vAlign w:val="center"/>
          </w:tcPr>
          <w:p w14:paraId="21817D3B">
            <w:pPr>
              <w:autoSpaceDE w:val="0"/>
              <w:autoSpaceDN w:val="0"/>
              <w:adjustRightIn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rPr>
              <w:t>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日</w:t>
            </w:r>
            <w:r>
              <w:rPr>
                <w:rFonts w:hint="eastAsia" w:ascii="宋体" w:hAnsi="宋体" w:eastAsia="宋体" w:cs="宋体"/>
                <w:color w:val="auto"/>
                <w:highlight w:val="none"/>
                <w:lang w:val="en-US" w:eastAsia="zh-CN"/>
              </w:rPr>
              <w:t>09</w:t>
            </w:r>
            <w:r>
              <w:rPr>
                <w:rFonts w:hint="eastAsia" w:ascii="宋体" w:hAnsi="宋体" w:eastAsia="宋体" w:cs="宋体"/>
                <w:color w:val="auto"/>
                <w:highlight w:val="none"/>
              </w:rPr>
              <w:t>时30分（</w:t>
            </w:r>
            <w:bookmarkStart w:id="329" w:name="_GoBack"/>
            <w:bookmarkEnd w:id="329"/>
            <w:r>
              <w:rPr>
                <w:rFonts w:hint="eastAsia" w:ascii="宋体" w:hAnsi="宋体" w:eastAsia="宋体" w:cs="宋体"/>
                <w:color w:val="auto"/>
                <w:highlight w:val="none"/>
              </w:rPr>
              <w:t>北京时间）</w:t>
            </w:r>
          </w:p>
        </w:tc>
      </w:tr>
      <w:tr w14:paraId="1B26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0C94893B">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17</w:t>
            </w:r>
          </w:p>
        </w:tc>
        <w:tc>
          <w:tcPr>
            <w:tcW w:w="2386" w:type="dxa"/>
            <w:vAlign w:val="center"/>
          </w:tcPr>
          <w:p w14:paraId="6A69D2A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投标有效期</w:t>
            </w:r>
          </w:p>
        </w:tc>
        <w:tc>
          <w:tcPr>
            <w:tcW w:w="5206" w:type="dxa"/>
            <w:vAlign w:val="center"/>
          </w:tcPr>
          <w:p w14:paraId="6A6BCA11">
            <w:pPr>
              <w:autoSpaceDE w:val="0"/>
              <w:autoSpaceDN w:val="0"/>
              <w:adjustRightInd w:val="0"/>
              <w:spacing w:line="400" w:lineRule="exact"/>
              <w:rPr>
                <w:rFonts w:hint="eastAsia" w:ascii="宋体" w:hAnsi="宋体" w:eastAsia="宋体" w:cs="宋体"/>
                <w:color w:val="auto"/>
                <w:kern w:val="0"/>
                <w:highlight w:val="none"/>
                <w:u w:val="single"/>
              </w:rPr>
            </w:pPr>
            <w:r>
              <w:rPr>
                <w:rFonts w:hint="eastAsia" w:ascii="宋体" w:hAnsi="宋体" w:eastAsia="宋体" w:cs="宋体"/>
                <w:color w:val="auto"/>
                <w:highlight w:val="none"/>
              </w:rPr>
              <w:t>从开标之日起</w:t>
            </w:r>
            <w:r>
              <w:rPr>
                <w:rFonts w:hint="eastAsia" w:ascii="宋体" w:hAnsi="宋体" w:eastAsia="宋体" w:cs="宋体"/>
                <w:color w:val="auto"/>
                <w:kern w:val="0"/>
                <w:highlight w:val="none"/>
              </w:rPr>
              <w:t>90天。</w:t>
            </w:r>
          </w:p>
        </w:tc>
      </w:tr>
      <w:tr w14:paraId="1BEE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19F030D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18</w:t>
            </w:r>
          </w:p>
        </w:tc>
        <w:tc>
          <w:tcPr>
            <w:tcW w:w="2386" w:type="dxa"/>
            <w:vAlign w:val="center"/>
          </w:tcPr>
          <w:p w14:paraId="7EA065A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投标保证金的</w:t>
            </w:r>
          </w:p>
          <w:p w14:paraId="4CEDA01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缴纳</w:t>
            </w:r>
          </w:p>
        </w:tc>
        <w:tc>
          <w:tcPr>
            <w:tcW w:w="5206" w:type="dxa"/>
            <w:vAlign w:val="center"/>
          </w:tcPr>
          <w:p w14:paraId="3E187148">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¥40000.00元（大写：肆万元整）。</w:t>
            </w:r>
          </w:p>
          <w:p w14:paraId="3ADC32FA">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交款方式：银行转账或电汇</w:t>
            </w:r>
          </w:p>
          <w:p w14:paraId="2B4986C3">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账户名称：四川国锃招标代理有限公司</w:t>
            </w:r>
          </w:p>
          <w:p w14:paraId="2BF5C55A">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开户银行：工行绵阳跃进路支行</w:t>
            </w:r>
          </w:p>
          <w:p w14:paraId="4D2386AA">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账    户：2308002309100021964</w:t>
            </w:r>
          </w:p>
          <w:p w14:paraId="72B24BCE">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交款截止时间：2025年12月24日09时30分</w:t>
            </w:r>
            <w:r>
              <w:rPr>
                <w:rFonts w:hint="eastAsia" w:ascii="宋体" w:hAnsi="宋体" w:eastAsia="宋体" w:cs="宋体"/>
                <w:color w:val="auto"/>
                <w:kern w:val="2"/>
                <w:sz w:val="21"/>
                <w:szCs w:val="21"/>
                <w:highlight w:val="none"/>
                <w:lang w:val="zh-CN"/>
              </w:rPr>
              <w:t>（</w:t>
            </w:r>
            <w:r>
              <w:rPr>
                <w:rFonts w:hint="eastAsia" w:ascii="宋体" w:hAnsi="宋体" w:eastAsia="宋体" w:cs="宋体"/>
                <w:color w:val="auto"/>
                <w:kern w:val="2"/>
                <w:sz w:val="21"/>
                <w:szCs w:val="21"/>
                <w:highlight w:val="none"/>
              </w:rPr>
              <w:t>投标保证金</w:t>
            </w:r>
            <w:r>
              <w:rPr>
                <w:rFonts w:hint="eastAsia" w:ascii="宋体" w:hAnsi="宋体" w:eastAsia="宋体" w:cs="宋体"/>
                <w:color w:val="auto"/>
                <w:kern w:val="2"/>
                <w:sz w:val="21"/>
                <w:szCs w:val="21"/>
                <w:highlight w:val="none"/>
                <w:lang w:val="zh-CN"/>
              </w:rPr>
              <w:t>的交纳以银行到账时间</w:t>
            </w:r>
            <w:r>
              <w:rPr>
                <w:rFonts w:hint="eastAsia" w:ascii="宋体" w:hAnsi="宋体" w:eastAsia="宋体" w:cs="宋体"/>
                <w:color w:val="auto"/>
                <w:kern w:val="2"/>
                <w:sz w:val="21"/>
                <w:szCs w:val="21"/>
                <w:highlight w:val="none"/>
              </w:rPr>
              <w:t>为准）。</w:t>
            </w:r>
          </w:p>
          <w:p w14:paraId="54D687E6">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rPr>
              <w:t>（投标文件中须提交银行转账或电汇底单复印件）</w:t>
            </w:r>
          </w:p>
          <w:p w14:paraId="165797DA">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zh-CN"/>
              </w:rPr>
              <w:t>注</w:t>
            </w:r>
            <w:r>
              <w:rPr>
                <w:rFonts w:hint="eastAsia" w:ascii="宋体" w:hAnsi="宋体" w:eastAsia="宋体" w:cs="宋体"/>
                <w:color w:val="auto"/>
                <w:kern w:val="2"/>
                <w:sz w:val="21"/>
                <w:szCs w:val="21"/>
                <w:highlight w:val="none"/>
              </w:rPr>
              <w:t>：</w:t>
            </w:r>
          </w:p>
          <w:p w14:paraId="1CA05D82">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1.投标人须按照招标文件的要求提交投标保证金。投标保证金必须以投标人自身的名义提交，并与投标报名的单位名称一致，不得以分支机构等其他名义提交。</w:t>
            </w:r>
          </w:p>
          <w:p w14:paraId="5A0FBFE3">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2.未按要求提交投标保证金的投标人，其投标将被拒绝。</w:t>
            </w:r>
          </w:p>
          <w:p w14:paraId="4465B4AD">
            <w:pPr>
              <w:pStyle w:val="333"/>
              <w:spacing w:line="400" w:lineRule="exact"/>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3.项目结束后由招标代理机构统一办理退还。</w:t>
            </w:r>
          </w:p>
        </w:tc>
      </w:tr>
      <w:tr w14:paraId="60CB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2A3E03B3">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19</w:t>
            </w:r>
          </w:p>
        </w:tc>
        <w:tc>
          <w:tcPr>
            <w:tcW w:w="2386" w:type="dxa"/>
            <w:vAlign w:val="center"/>
          </w:tcPr>
          <w:p w14:paraId="1F5D059B">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中标服务费的缴纳</w:t>
            </w:r>
          </w:p>
        </w:tc>
        <w:tc>
          <w:tcPr>
            <w:tcW w:w="5206" w:type="dxa"/>
            <w:vAlign w:val="center"/>
          </w:tcPr>
          <w:p w14:paraId="3509B56C">
            <w:pPr>
              <w:spacing w:line="360" w:lineRule="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代理费用</w:t>
            </w:r>
            <w:r>
              <w:rPr>
                <w:rFonts w:hint="eastAsia" w:ascii="宋体" w:hAnsi="宋体" w:eastAsia="宋体" w:cs="宋体"/>
                <w:color w:val="auto"/>
                <w:highlight w:val="none"/>
              </w:rPr>
              <w:t>参照《招标代理服务收费管理暂行办法》计价格[2002]1980号文和发改价格[2011]534号下浮25%收取。代理费</w:t>
            </w:r>
            <w:r>
              <w:rPr>
                <w:rFonts w:hint="eastAsia" w:ascii="宋体" w:hAnsi="宋体" w:eastAsia="宋体" w:cs="宋体"/>
                <w:color w:val="auto"/>
                <w:highlight w:val="none"/>
                <w:lang w:val="zh-CN"/>
              </w:rPr>
              <w:t>由</w:t>
            </w:r>
            <w:r>
              <w:rPr>
                <w:rFonts w:hint="eastAsia" w:ascii="宋体" w:hAnsi="宋体" w:eastAsia="宋体" w:cs="宋体"/>
                <w:color w:val="auto"/>
                <w:highlight w:val="none"/>
              </w:rPr>
              <w:t>中标单位</w:t>
            </w:r>
            <w:r>
              <w:rPr>
                <w:rFonts w:hint="eastAsia" w:ascii="宋体" w:hAnsi="宋体" w:eastAsia="宋体" w:cs="宋体"/>
                <w:color w:val="auto"/>
                <w:highlight w:val="none"/>
                <w:lang w:val="zh-CN"/>
              </w:rPr>
              <w:t>领取</w:t>
            </w:r>
            <w:r>
              <w:rPr>
                <w:rFonts w:hint="eastAsia" w:ascii="宋体" w:hAnsi="宋体" w:eastAsia="宋体" w:cs="宋体"/>
                <w:color w:val="auto"/>
                <w:highlight w:val="none"/>
              </w:rPr>
              <w:t>中标</w:t>
            </w:r>
            <w:r>
              <w:rPr>
                <w:rFonts w:hint="eastAsia" w:ascii="宋体" w:hAnsi="宋体" w:eastAsia="宋体" w:cs="宋体"/>
                <w:color w:val="auto"/>
                <w:highlight w:val="none"/>
                <w:lang w:val="zh-CN"/>
              </w:rPr>
              <w:t>通知书</w:t>
            </w:r>
            <w:r>
              <w:rPr>
                <w:rFonts w:hint="eastAsia" w:ascii="宋体" w:hAnsi="宋体" w:eastAsia="宋体" w:cs="宋体"/>
                <w:color w:val="auto"/>
                <w:highlight w:val="none"/>
              </w:rPr>
              <w:t>前</w:t>
            </w:r>
            <w:r>
              <w:rPr>
                <w:rFonts w:hint="eastAsia" w:ascii="宋体" w:hAnsi="宋体" w:eastAsia="宋体" w:cs="宋体"/>
                <w:color w:val="auto"/>
                <w:highlight w:val="none"/>
                <w:lang w:val="zh-CN"/>
              </w:rPr>
              <w:t>一次性支付给四川</w:t>
            </w:r>
            <w:r>
              <w:rPr>
                <w:rFonts w:hint="eastAsia" w:ascii="宋体" w:hAnsi="宋体" w:eastAsia="宋体" w:cs="宋体"/>
                <w:color w:val="auto"/>
                <w:highlight w:val="none"/>
              </w:rPr>
              <w:t>国锃招标</w:t>
            </w:r>
            <w:r>
              <w:rPr>
                <w:rFonts w:hint="eastAsia" w:ascii="宋体" w:hAnsi="宋体" w:eastAsia="宋体" w:cs="宋体"/>
                <w:color w:val="auto"/>
                <w:highlight w:val="none"/>
                <w:lang w:val="zh-CN"/>
              </w:rPr>
              <w:t>代理有限公司。代理服务费交纳方式：现金或转账方式。</w:t>
            </w:r>
          </w:p>
          <w:p w14:paraId="6A57801F">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开户银行：绵阳市商业银行股份有限公司营业部</w:t>
            </w:r>
          </w:p>
          <w:p w14:paraId="76108FD0">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账户名称：四川国锃招标代理有限公司</w:t>
            </w:r>
          </w:p>
          <w:p w14:paraId="37F7B7D8">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账户：02001100014127</w:t>
            </w:r>
          </w:p>
        </w:tc>
      </w:tr>
      <w:tr w14:paraId="072F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2846D14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20</w:t>
            </w:r>
          </w:p>
        </w:tc>
        <w:tc>
          <w:tcPr>
            <w:tcW w:w="2386" w:type="dxa"/>
            <w:vAlign w:val="center"/>
          </w:tcPr>
          <w:p w14:paraId="3C93FD1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投标保证金的退还</w:t>
            </w:r>
          </w:p>
        </w:tc>
        <w:tc>
          <w:tcPr>
            <w:tcW w:w="5206" w:type="dxa"/>
            <w:vAlign w:val="center"/>
          </w:tcPr>
          <w:p w14:paraId="3FD8C1D6">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1.中标人的投标保证金，在中标人与招标人订立书面合同且将合同扫描件或复印件交于招标代理公司后5日内退还；</w:t>
            </w:r>
          </w:p>
          <w:p w14:paraId="033B452C">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2.未中标投标人的投标保证金，最迟在中标人与招标人订立书面合同后5日内退还；</w:t>
            </w:r>
          </w:p>
          <w:p w14:paraId="4B7AC58D">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3.招标过程中因正当理由招标人宣布终止或招标失败需重新组织招标的，在宣布招标终止或招标失败5日内退还投标保证金。</w:t>
            </w:r>
          </w:p>
        </w:tc>
      </w:tr>
      <w:tr w14:paraId="6F5C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12C3473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21</w:t>
            </w:r>
          </w:p>
        </w:tc>
        <w:tc>
          <w:tcPr>
            <w:tcW w:w="2386" w:type="dxa"/>
            <w:vAlign w:val="center"/>
          </w:tcPr>
          <w:p w14:paraId="578D665B">
            <w:pPr>
              <w:autoSpaceDE w:val="0"/>
              <w:autoSpaceDN w:val="0"/>
              <w:adjustRightIn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投标保证金不予退还的</w:t>
            </w:r>
          </w:p>
          <w:p w14:paraId="69EC8F7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highlight w:val="none"/>
              </w:rPr>
              <w:t>情形</w:t>
            </w:r>
          </w:p>
        </w:tc>
        <w:tc>
          <w:tcPr>
            <w:tcW w:w="5206" w:type="dxa"/>
          </w:tcPr>
          <w:p w14:paraId="4D752FA5">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highlight w:val="none"/>
              </w:rPr>
              <w:t>1.中标人拒签合同。</w:t>
            </w:r>
            <w:r>
              <w:rPr>
                <w:rFonts w:hint="eastAsia" w:ascii="宋体" w:hAnsi="宋体" w:eastAsia="宋体" w:cs="宋体"/>
                <w:color w:val="auto"/>
                <w:kern w:val="0"/>
                <w:highlight w:val="none"/>
              </w:rPr>
              <w:t>“拒签合同”</w:t>
            </w:r>
            <w:r>
              <w:rPr>
                <w:rFonts w:hint="eastAsia" w:ascii="宋体" w:hAnsi="宋体" w:eastAsia="宋体" w:cs="宋体"/>
                <w:color w:val="auto"/>
                <w:highlight w:val="none"/>
              </w:rPr>
              <w:t>是指</w:t>
            </w:r>
            <w:r>
              <w:rPr>
                <w:rFonts w:hint="eastAsia" w:ascii="宋体" w:hAnsi="宋体" w:eastAsia="宋体" w:cs="宋体"/>
                <w:color w:val="auto"/>
                <w:kern w:val="0"/>
                <w:highlight w:val="none"/>
              </w:rPr>
              <w:t>：</w:t>
            </w:r>
          </w:p>
          <w:p w14:paraId="60EB3CDE">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（1）明示不与招标人签订合同；</w:t>
            </w:r>
          </w:p>
          <w:p w14:paraId="649CA6CB">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（2）没有明示但不按照招标文件、中标人的投标文件、中标通知书要求与招标人签订合同</w:t>
            </w:r>
            <w:r>
              <w:rPr>
                <w:rFonts w:hint="eastAsia" w:ascii="宋体" w:hAnsi="宋体" w:eastAsia="宋体" w:cs="宋体"/>
                <w:color w:val="auto"/>
                <w:highlight w:val="none"/>
              </w:rPr>
              <w:t>。</w:t>
            </w:r>
          </w:p>
          <w:p w14:paraId="36BD255D">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2.未按招标文件规定提交履约担保（若需）。</w:t>
            </w:r>
          </w:p>
          <w:p w14:paraId="1F30D2DD">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kern w:val="0"/>
                <w:highlight w:val="none"/>
              </w:rPr>
              <w:t>3.</w:t>
            </w:r>
            <w:r>
              <w:rPr>
                <w:rFonts w:hint="eastAsia" w:ascii="宋体" w:hAnsi="宋体" w:eastAsia="宋体" w:cs="宋体"/>
                <w:color w:val="auto"/>
                <w:highlight w:val="none"/>
              </w:rPr>
              <w:t>投标人在投标活动中串通投标、弄虚作假的，投标保证金也不予退还。</w:t>
            </w:r>
          </w:p>
          <w:p w14:paraId="40CE8D58">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kern w:val="0"/>
                <w:highlight w:val="none"/>
              </w:rPr>
              <w:t>投标人在规定的投标有效期内撤销或修改其投标文件</w:t>
            </w:r>
            <w:r>
              <w:rPr>
                <w:rFonts w:hint="eastAsia" w:ascii="宋体" w:hAnsi="宋体" w:eastAsia="宋体" w:cs="宋体"/>
                <w:color w:val="auto"/>
                <w:highlight w:val="none"/>
              </w:rPr>
              <w:t>。</w:t>
            </w:r>
          </w:p>
          <w:p w14:paraId="13E03EC5">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5.投标人有相互串通报价、排挤其他投标人的公平竞争，损害招标人或其他投标人合法权益的行为以及其他违法、违规和违纪的行为。</w:t>
            </w:r>
          </w:p>
          <w:p w14:paraId="7D2CAC8A">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6.未按照招标文件规定缴纳招标代理服务费。</w:t>
            </w:r>
          </w:p>
          <w:p w14:paraId="3023B9FF">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rPr>
              <w:t>7.中标后放弃中标、不领取或者不接受中标通知书的。</w:t>
            </w:r>
          </w:p>
          <w:p w14:paraId="0AF65C31">
            <w:pPr>
              <w:adjustRightInd w:val="0"/>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8.法律法规规定不予退还的其他情形</w:t>
            </w:r>
            <w:r>
              <w:rPr>
                <w:rFonts w:hint="eastAsia" w:ascii="宋体" w:hAnsi="宋体" w:eastAsia="宋体" w:cs="宋体"/>
                <w:color w:val="auto"/>
                <w:kern w:val="0"/>
                <w:highlight w:val="none"/>
              </w:rPr>
              <w:t>。</w:t>
            </w:r>
          </w:p>
        </w:tc>
      </w:tr>
      <w:tr w14:paraId="529D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38DC708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22</w:t>
            </w:r>
          </w:p>
        </w:tc>
        <w:tc>
          <w:tcPr>
            <w:tcW w:w="2386" w:type="dxa"/>
            <w:vAlign w:val="center"/>
          </w:tcPr>
          <w:p w14:paraId="25452D4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highlight w:val="none"/>
              </w:rPr>
              <w:t>投标文件格式</w:t>
            </w:r>
          </w:p>
        </w:tc>
        <w:tc>
          <w:tcPr>
            <w:tcW w:w="5206" w:type="dxa"/>
            <w:vAlign w:val="center"/>
          </w:tcPr>
          <w:p w14:paraId="4F737184">
            <w:pPr>
              <w:adjustRightInd w:val="0"/>
              <w:snapToGrid w:val="0"/>
              <w:spacing w:line="400" w:lineRule="exact"/>
              <w:ind w:left="34" w:leftChars="16" w:firstLine="4" w:firstLineChars="2"/>
              <w:rPr>
                <w:rFonts w:hint="eastAsia" w:ascii="宋体" w:hAnsi="宋体" w:eastAsia="宋体" w:cs="宋体"/>
                <w:color w:val="auto"/>
                <w:highlight w:val="none"/>
              </w:rPr>
            </w:pPr>
            <w:r>
              <w:rPr>
                <w:rFonts w:hint="eastAsia" w:ascii="宋体" w:hAnsi="宋体" w:eastAsia="宋体" w:cs="宋体"/>
                <w:color w:val="auto"/>
                <w:highlight w:val="none"/>
              </w:rPr>
              <w:t>见第七章“投标文件格式”。</w:t>
            </w:r>
          </w:p>
        </w:tc>
      </w:tr>
      <w:tr w14:paraId="4947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26F5CD2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23</w:t>
            </w:r>
          </w:p>
        </w:tc>
        <w:tc>
          <w:tcPr>
            <w:tcW w:w="2386" w:type="dxa"/>
            <w:vAlign w:val="center"/>
          </w:tcPr>
          <w:p w14:paraId="14E60F52">
            <w:pPr>
              <w:autoSpaceDE w:val="0"/>
              <w:autoSpaceDN w:val="0"/>
              <w:adjustRightIn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kern w:val="0"/>
                <w:highlight w:val="none"/>
              </w:rPr>
              <w:t>签字或盖章要求</w:t>
            </w:r>
          </w:p>
        </w:tc>
        <w:tc>
          <w:tcPr>
            <w:tcW w:w="5206" w:type="dxa"/>
          </w:tcPr>
          <w:p w14:paraId="21A393BA">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投标文件的投标函和其它需签字或盖章的部分均应由投标人的法定代表人或其委托代理人签字或盖章。委托代理人签字的投标文件应附法定代表人签署的授权委托书。</w:t>
            </w:r>
          </w:p>
        </w:tc>
      </w:tr>
      <w:tr w14:paraId="7BB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119FCE1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24</w:t>
            </w:r>
          </w:p>
        </w:tc>
        <w:tc>
          <w:tcPr>
            <w:tcW w:w="2386" w:type="dxa"/>
            <w:vAlign w:val="center"/>
          </w:tcPr>
          <w:p w14:paraId="2158D3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投标文件制作</w:t>
            </w:r>
          </w:p>
        </w:tc>
        <w:tc>
          <w:tcPr>
            <w:tcW w:w="5206" w:type="dxa"/>
          </w:tcPr>
          <w:p w14:paraId="6D87159A">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投标人应当准备投标文件</w:t>
            </w:r>
            <w:r>
              <w:rPr>
                <w:rFonts w:hint="eastAsia" w:ascii="宋体" w:hAnsi="宋体" w:eastAsia="宋体" w:cs="宋体"/>
                <w:b/>
                <w:bCs/>
                <w:color w:val="auto"/>
                <w:highlight w:val="none"/>
              </w:rPr>
              <w:t>正本壹份、副本肆份、电子档（U盘）壹份（电子文档应为投标文件正本盖章扫描件，以U盘形式递交），以及用于开标唱标单独提交的“开标一览表”壹份。</w:t>
            </w:r>
            <w:r>
              <w:rPr>
                <w:rFonts w:hint="eastAsia" w:ascii="宋体" w:hAnsi="宋体" w:eastAsia="宋体" w:cs="宋体"/>
                <w:color w:val="auto"/>
                <w:highlight w:val="none"/>
              </w:rPr>
              <w:t>投标文件的正本和副本应在其封面右上角清楚地标明“正本”或“副本”字样，电子档标明“电子档”。若正本和副本有不一致的内容，以正本书面投标文件为准。</w:t>
            </w:r>
          </w:p>
        </w:tc>
      </w:tr>
      <w:tr w14:paraId="3B04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497F895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25</w:t>
            </w:r>
          </w:p>
        </w:tc>
        <w:tc>
          <w:tcPr>
            <w:tcW w:w="2386" w:type="dxa"/>
            <w:vAlign w:val="center"/>
          </w:tcPr>
          <w:p w14:paraId="0EA31EEE">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投标文件内容顺序</w:t>
            </w:r>
          </w:p>
        </w:tc>
        <w:tc>
          <w:tcPr>
            <w:tcW w:w="5206" w:type="dxa"/>
          </w:tcPr>
          <w:p w14:paraId="3A75636E">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rPr>
              <w:t>投标文件按照第七章“投标文件格式”中的次序制作；应制作目录。投标文件中的证明、证件及附件等的复制件应集中紧附在相应正文内容后面，并尽量与前面正文部分的顺序相对应。</w:t>
            </w:r>
          </w:p>
        </w:tc>
      </w:tr>
      <w:tr w14:paraId="0E51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103C94E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26</w:t>
            </w:r>
          </w:p>
        </w:tc>
        <w:tc>
          <w:tcPr>
            <w:tcW w:w="2386" w:type="dxa"/>
            <w:vAlign w:val="center"/>
          </w:tcPr>
          <w:p w14:paraId="74885175">
            <w:pPr>
              <w:autoSpaceDE w:val="0"/>
              <w:autoSpaceDN w:val="0"/>
              <w:adjustRightInd w:val="0"/>
              <w:snapToGri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投标文件的</w:t>
            </w:r>
          </w:p>
          <w:p w14:paraId="6DCF8CCC">
            <w:pPr>
              <w:autoSpaceDE w:val="0"/>
              <w:autoSpaceDN w:val="0"/>
              <w:adjustRightInd w:val="0"/>
              <w:snapToGri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提交 </w:t>
            </w:r>
          </w:p>
        </w:tc>
        <w:tc>
          <w:tcPr>
            <w:tcW w:w="5206" w:type="dxa"/>
            <w:vAlign w:val="center"/>
          </w:tcPr>
          <w:p w14:paraId="2696E58A">
            <w:pPr>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tc>
      </w:tr>
      <w:tr w14:paraId="58B3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1382EDC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27</w:t>
            </w:r>
          </w:p>
        </w:tc>
        <w:tc>
          <w:tcPr>
            <w:tcW w:w="2386" w:type="dxa"/>
            <w:vAlign w:val="center"/>
          </w:tcPr>
          <w:p w14:paraId="7DBBC06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递交投标文件地点</w:t>
            </w:r>
          </w:p>
        </w:tc>
        <w:tc>
          <w:tcPr>
            <w:tcW w:w="5206" w:type="dxa"/>
            <w:vAlign w:val="center"/>
          </w:tcPr>
          <w:p w14:paraId="5F3D8A09">
            <w:pPr>
              <w:autoSpaceDE w:val="0"/>
              <w:autoSpaceDN w:val="0"/>
              <w:adjustRightIn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u w:val="single"/>
              </w:rPr>
              <w:t>四川国锃招标代理有限公司开标室（绵阳市科创园区科技路5号二楼）</w:t>
            </w:r>
          </w:p>
        </w:tc>
      </w:tr>
      <w:tr w14:paraId="73A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10061BA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28</w:t>
            </w:r>
          </w:p>
        </w:tc>
        <w:tc>
          <w:tcPr>
            <w:tcW w:w="2386" w:type="dxa"/>
            <w:vAlign w:val="center"/>
          </w:tcPr>
          <w:p w14:paraId="06EF9643">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开标时间和地点</w:t>
            </w:r>
          </w:p>
        </w:tc>
        <w:tc>
          <w:tcPr>
            <w:tcW w:w="5206" w:type="dxa"/>
          </w:tcPr>
          <w:p w14:paraId="4FBBA895">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开标时间：2025年12月24日09时30分（北京时间）。</w:t>
            </w:r>
          </w:p>
          <w:p w14:paraId="3AD15685">
            <w:pPr>
              <w:autoSpaceDE w:val="0"/>
              <w:autoSpaceDN w:val="0"/>
              <w:adjustRightInd w:val="0"/>
              <w:snapToGrid w:val="0"/>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highlight w:val="none"/>
              </w:rPr>
              <w:t>开标地点：四川国锃招标代理有限公司开标室（绵阳市科创园区科技路5号二楼）。</w:t>
            </w:r>
          </w:p>
        </w:tc>
      </w:tr>
      <w:tr w14:paraId="6E54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1F372F0D">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29</w:t>
            </w:r>
          </w:p>
        </w:tc>
        <w:tc>
          <w:tcPr>
            <w:tcW w:w="2386" w:type="dxa"/>
            <w:vAlign w:val="center"/>
          </w:tcPr>
          <w:p w14:paraId="55AFDF03">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是否退还投标文件</w:t>
            </w:r>
          </w:p>
        </w:tc>
        <w:tc>
          <w:tcPr>
            <w:tcW w:w="5206" w:type="dxa"/>
            <w:vAlign w:val="center"/>
          </w:tcPr>
          <w:p w14:paraId="7FFC3FA3">
            <w:pPr>
              <w:snapToGrid w:val="0"/>
              <w:spacing w:line="400" w:lineRule="exact"/>
              <w:rPr>
                <w:rFonts w:hint="eastAsia" w:ascii="宋体" w:hAnsi="宋体" w:eastAsia="宋体" w:cs="宋体"/>
                <w:color w:val="auto"/>
                <w:highlight w:val="none"/>
              </w:rPr>
            </w:pPr>
            <w:r>
              <w:rPr>
                <w:rFonts w:hint="eastAsia" w:ascii="宋体" w:hAnsi="宋体" w:eastAsia="宋体" w:cs="宋体"/>
                <w:color w:val="auto"/>
                <w:kern w:val="0"/>
                <w:highlight w:val="none"/>
              </w:rPr>
              <w:t>否</w:t>
            </w:r>
          </w:p>
        </w:tc>
      </w:tr>
      <w:tr w14:paraId="7FF3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0B60A73">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30</w:t>
            </w:r>
          </w:p>
        </w:tc>
        <w:tc>
          <w:tcPr>
            <w:tcW w:w="2386" w:type="dxa"/>
            <w:vAlign w:val="center"/>
          </w:tcPr>
          <w:p w14:paraId="256093DE">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评标方法</w:t>
            </w:r>
          </w:p>
        </w:tc>
        <w:tc>
          <w:tcPr>
            <w:tcW w:w="5206" w:type="dxa"/>
            <w:vAlign w:val="center"/>
          </w:tcPr>
          <w:p w14:paraId="69ABE25B">
            <w:pPr>
              <w:snapToGrid w:val="0"/>
              <w:spacing w:line="400" w:lineRule="exact"/>
              <w:rPr>
                <w:rFonts w:hint="eastAsia" w:ascii="宋体" w:hAnsi="宋体" w:eastAsia="宋体" w:cs="宋体"/>
                <w:color w:val="auto"/>
                <w:highlight w:val="none"/>
              </w:rPr>
            </w:pPr>
            <w:r>
              <w:rPr>
                <w:rFonts w:hint="eastAsia" w:ascii="宋体" w:hAnsi="宋体" w:eastAsia="宋体" w:cs="宋体"/>
                <w:color w:val="auto"/>
                <w:kern w:val="0"/>
                <w:highlight w:val="none"/>
              </w:rPr>
              <w:t>采用综合评估法</w:t>
            </w:r>
          </w:p>
        </w:tc>
      </w:tr>
      <w:tr w14:paraId="71FE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1EE84FC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31</w:t>
            </w:r>
          </w:p>
        </w:tc>
        <w:tc>
          <w:tcPr>
            <w:tcW w:w="2386" w:type="dxa"/>
            <w:vAlign w:val="center"/>
          </w:tcPr>
          <w:p w14:paraId="181DEEC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履约保证金</w:t>
            </w:r>
          </w:p>
        </w:tc>
        <w:tc>
          <w:tcPr>
            <w:tcW w:w="5206" w:type="dxa"/>
            <w:vAlign w:val="center"/>
          </w:tcPr>
          <w:p w14:paraId="61EC8BD9">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中标人按照合同金额的5%提交履约保证金（详见第六章合同主要条款）</w:t>
            </w:r>
            <w:r>
              <w:rPr>
                <w:rFonts w:hint="eastAsia" w:ascii="宋体" w:hAnsi="宋体" w:eastAsia="宋体" w:cs="宋体"/>
                <w:color w:val="auto"/>
                <w:highlight w:val="none"/>
              </w:rPr>
              <w:t xml:space="preserve"> 。</w:t>
            </w:r>
          </w:p>
        </w:tc>
      </w:tr>
      <w:tr w14:paraId="0227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0A00C51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32</w:t>
            </w:r>
          </w:p>
        </w:tc>
        <w:tc>
          <w:tcPr>
            <w:tcW w:w="2386" w:type="dxa"/>
            <w:vAlign w:val="center"/>
          </w:tcPr>
          <w:p w14:paraId="43BA008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投标限价</w:t>
            </w:r>
          </w:p>
        </w:tc>
        <w:tc>
          <w:tcPr>
            <w:tcW w:w="5206" w:type="dxa"/>
            <w:vAlign w:val="center"/>
          </w:tcPr>
          <w:p w14:paraId="33646430">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最高限价（含税）：¥230万元（大写：贰佰叁拾万元整）</w:t>
            </w:r>
          </w:p>
          <w:p w14:paraId="374A4B9B">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注：投标总价超过最高限价的投标为无效投标。</w:t>
            </w:r>
          </w:p>
        </w:tc>
      </w:tr>
      <w:tr w14:paraId="3247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4F36CC6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33</w:t>
            </w:r>
          </w:p>
        </w:tc>
        <w:tc>
          <w:tcPr>
            <w:tcW w:w="7592" w:type="dxa"/>
            <w:gridSpan w:val="2"/>
            <w:vAlign w:val="center"/>
          </w:tcPr>
          <w:p w14:paraId="37F50FBC">
            <w:pPr>
              <w:adjustRightInd w:val="0"/>
              <w:snapToGrid w:val="0"/>
              <w:spacing w:line="400" w:lineRule="exact"/>
              <w:ind w:firstLine="435"/>
              <w:rPr>
                <w:rFonts w:hint="eastAsia" w:ascii="宋体" w:hAnsi="宋体" w:eastAsia="宋体" w:cs="宋体"/>
                <w:b/>
                <w:color w:val="auto"/>
                <w:highlight w:val="none"/>
              </w:rPr>
            </w:pPr>
            <w:r>
              <w:rPr>
                <w:rFonts w:hint="eastAsia" w:ascii="宋体" w:hAnsi="宋体" w:eastAsia="宋体" w:cs="宋体"/>
                <w:b/>
                <w:color w:val="auto"/>
                <w:highlight w:val="none"/>
              </w:rPr>
              <w:t>需要补充的其它内容</w:t>
            </w:r>
          </w:p>
        </w:tc>
      </w:tr>
      <w:tr w14:paraId="0D31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1D8BFC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w:t>
            </w:r>
          </w:p>
        </w:tc>
        <w:tc>
          <w:tcPr>
            <w:tcW w:w="2386" w:type="dxa"/>
            <w:vAlign w:val="center"/>
          </w:tcPr>
          <w:p w14:paraId="75A9968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图纸或其它资料</w:t>
            </w:r>
          </w:p>
        </w:tc>
        <w:tc>
          <w:tcPr>
            <w:tcW w:w="5206" w:type="dxa"/>
            <w:vAlign w:val="center"/>
          </w:tcPr>
          <w:p w14:paraId="4213D675">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无</w:t>
            </w:r>
          </w:p>
        </w:tc>
      </w:tr>
      <w:tr w14:paraId="05CA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6DBC194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w:t>
            </w:r>
          </w:p>
        </w:tc>
        <w:tc>
          <w:tcPr>
            <w:tcW w:w="2386" w:type="dxa"/>
            <w:vAlign w:val="center"/>
          </w:tcPr>
          <w:p w14:paraId="31755CF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报价唯一</w:t>
            </w:r>
          </w:p>
        </w:tc>
        <w:tc>
          <w:tcPr>
            <w:tcW w:w="5206" w:type="dxa"/>
          </w:tcPr>
          <w:p w14:paraId="35EC2BE8">
            <w:pPr>
              <w:adjustRightInd w:val="0"/>
              <w:snapToGrid w:val="0"/>
              <w:spacing w:line="3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只能有一个有效报价。即：</w:t>
            </w:r>
          </w:p>
          <w:p w14:paraId="4B49CCC3">
            <w:pPr>
              <w:adjustRightInd w:val="0"/>
              <w:snapToGrid w:val="0"/>
              <w:spacing w:line="3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（1）单价和总价都只允许有一个报价，任何有选择和保留的报价将不予接受。</w:t>
            </w:r>
          </w:p>
          <w:p w14:paraId="6242EAB5">
            <w:pPr>
              <w:adjustRightInd w:val="0"/>
              <w:snapToGrid w:val="0"/>
              <w:spacing w:line="360" w:lineRule="exact"/>
              <w:rPr>
                <w:rFonts w:hint="eastAsia" w:ascii="宋体" w:hAnsi="宋体" w:eastAsia="宋体" w:cs="宋体"/>
                <w:color w:val="auto"/>
                <w:highlight w:val="none"/>
              </w:rPr>
            </w:pPr>
            <w:r>
              <w:rPr>
                <w:rFonts w:hint="eastAsia" w:ascii="宋体" w:hAnsi="宋体" w:eastAsia="宋体" w:cs="宋体"/>
                <w:color w:val="auto"/>
                <w:kern w:val="0"/>
                <w:highlight w:val="none"/>
              </w:rPr>
              <w:t>（2）</w:t>
            </w:r>
            <w:r>
              <w:rPr>
                <w:rFonts w:hint="eastAsia" w:ascii="宋体" w:hAnsi="宋体" w:eastAsia="宋体" w:cs="宋体"/>
                <w:color w:val="auto"/>
                <w:highlight w:val="none"/>
              </w:rPr>
              <w:t>投标文件中投标函的投标总报价和分项报价表中的总价金额，两者应完全一致。</w:t>
            </w:r>
          </w:p>
        </w:tc>
      </w:tr>
      <w:tr w14:paraId="5228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02D3EB2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w:t>
            </w:r>
          </w:p>
        </w:tc>
        <w:tc>
          <w:tcPr>
            <w:tcW w:w="2386" w:type="dxa"/>
            <w:vAlign w:val="center"/>
          </w:tcPr>
          <w:p w14:paraId="6BA411B4">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价格修正</w:t>
            </w:r>
          </w:p>
        </w:tc>
        <w:tc>
          <w:tcPr>
            <w:tcW w:w="5206" w:type="dxa"/>
          </w:tcPr>
          <w:p w14:paraId="468EE80D">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按第四章“评标办法”对投标报价进行修正的，以投标人接受的修正价格为评标价，不保证报价最低的投标人中标。</w:t>
            </w:r>
          </w:p>
        </w:tc>
      </w:tr>
      <w:tr w14:paraId="52A0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BB1876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（4）</w:t>
            </w:r>
          </w:p>
        </w:tc>
        <w:tc>
          <w:tcPr>
            <w:tcW w:w="2386" w:type="dxa"/>
            <w:vAlign w:val="center"/>
          </w:tcPr>
          <w:p w14:paraId="34633537">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投标文件的</w:t>
            </w:r>
          </w:p>
          <w:p w14:paraId="6AF4DC58">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真实性要求</w:t>
            </w:r>
          </w:p>
        </w:tc>
        <w:tc>
          <w:tcPr>
            <w:tcW w:w="5206" w:type="dxa"/>
          </w:tcPr>
          <w:p w14:paraId="70AD59D5">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1.投标人所递交的投标文件（包括有关资料、澄清）应真实可信，不存在虚假（包括隐瞒）。</w:t>
            </w:r>
          </w:p>
          <w:p w14:paraId="64E179C6">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2.如投标文件存在虚假，在评标阶段，评标委员会将该投标文件作废标处理；中标候选人确定后发现的，招标人可以取消中标候选人或中标资格。</w:t>
            </w:r>
          </w:p>
        </w:tc>
      </w:tr>
      <w:tr w14:paraId="021F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BD04E4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（6）</w:t>
            </w:r>
          </w:p>
        </w:tc>
        <w:tc>
          <w:tcPr>
            <w:tcW w:w="2386" w:type="dxa"/>
            <w:vAlign w:val="center"/>
          </w:tcPr>
          <w:p w14:paraId="7AA28DFF">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废标（否决投标）的一般情形</w:t>
            </w:r>
          </w:p>
        </w:tc>
        <w:tc>
          <w:tcPr>
            <w:tcW w:w="5206" w:type="dxa"/>
            <w:vAlign w:val="center"/>
          </w:tcPr>
          <w:p w14:paraId="4BDD9049">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1.投标函无投标人盖章，或者无法定代表人或者其授权代理人签字或者盖章的，或者虽有代理人签字但无法定代表人出具的授权委托书的。</w:t>
            </w:r>
          </w:p>
          <w:p w14:paraId="6DC5F6AF">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2.投标函未按招标文件规定的格式填写，内容不全或者关键字迹模糊无法辨认，评标委员会认为构成实质性偏离的。</w:t>
            </w:r>
          </w:p>
          <w:p w14:paraId="071A7A9E">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3.没有按照招标文件要求提交投标保证金的。</w:t>
            </w:r>
          </w:p>
          <w:p w14:paraId="18BA8605">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4.投标有效期不满足招标文件要求的。</w:t>
            </w:r>
          </w:p>
          <w:p w14:paraId="289DED96">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5.评标委员会认为投标人不符合招标文件规定的资格条件的。</w:t>
            </w:r>
          </w:p>
          <w:p w14:paraId="3404AF92">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6.投标人提交两份或者多份内容不同的投标文件，或者在同一份投标文件中对同一招标项目有两个或者多个报价，且未声明哪一个为最终报价的（按招标文件要求提交备选方案的除外）。</w:t>
            </w:r>
          </w:p>
          <w:p w14:paraId="505D1CF8">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7.串通投标、以行贿手段谋取中标、以他人名义或者其他弄虚作假方式投标的。</w:t>
            </w:r>
          </w:p>
          <w:p w14:paraId="3D6765B8">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8.报价明显低于成本价，且投标人不能合理说明或者提供相关证明材料，经评标委员会认定该投标人以低于成本报价竞标的。</w:t>
            </w:r>
          </w:p>
          <w:p w14:paraId="1E02B76E">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9.不按要求对投标文件进行澄清、说明或者补正的。</w:t>
            </w:r>
          </w:p>
          <w:p w14:paraId="3A93C847">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10.没有对招标文件提出的实质性要求和条件做出响应的，或评标委员会评审后认为投标文件不满足招标文件的实质性要求和条件的。 </w:t>
            </w:r>
          </w:p>
          <w:p w14:paraId="2AFF749F">
            <w:pPr>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11.国家或招标文件明确规定可以废标的其他情形。</w:t>
            </w:r>
          </w:p>
        </w:tc>
      </w:tr>
      <w:tr w14:paraId="1B80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604EED1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（8）</w:t>
            </w:r>
          </w:p>
        </w:tc>
        <w:tc>
          <w:tcPr>
            <w:tcW w:w="2386" w:type="dxa"/>
            <w:vAlign w:val="center"/>
          </w:tcPr>
          <w:p w14:paraId="3114622B">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特殊情况</w:t>
            </w:r>
          </w:p>
        </w:tc>
        <w:tc>
          <w:tcPr>
            <w:tcW w:w="5206" w:type="dxa"/>
            <w:vAlign w:val="center"/>
          </w:tcPr>
          <w:p w14:paraId="414DDD60">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评审结果确定前，若招标人的招标方案/招标商务、技术要求等发生变更或变化，或价格超过招标人承受能力，招标人可终止招标。</w:t>
            </w:r>
          </w:p>
        </w:tc>
      </w:tr>
    </w:tbl>
    <w:p w14:paraId="4F90B601">
      <w:pPr>
        <w:autoSpaceDE w:val="0"/>
        <w:autoSpaceDN w:val="0"/>
        <w:adjustRightInd w:val="0"/>
        <w:spacing w:line="413" w:lineRule="exact"/>
        <w:jc w:val="center"/>
        <w:outlineLvl w:val="1"/>
        <w:rPr>
          <w:rFonts w:hint="eastAsia" w:ascii="宋体" w:hAnsi="宋体" w:eastAsia="宋体" w:cs="宋体"/>
          <w:color w:val="auto"/>
          <w:kern w:val="0"/>
          <w:sz w:val="28"/>
          <w:szCs w:val="28"/>
          <w:highlight w:val="none"/>
        </w:rPr>
      </w:pPr>
      <w:bookmarkStart w:id="12" w:name="_Toc248313640"/>
      <w:bookmarkStart w:id="13" w:name="_Toc24112406"/>
      <w:bookmarkStart w:id="14" w:name="_Toc286752015"/>
      <w:bookmarkStart w:id="15" w:name="_Toc152045529"/>
      <w:bookmarkStart w:id="16" w:name="_Toc144974497"/>
      <w:bookmarkStart w:id="17" w:name="_Toc179632546"/>
      <w:bookmarkStart w:id="18" w:name="_Toc152042305"/>
      <w:r>
        <w:rPr>
          <w:rFonts w:hint="eastAsia" w:ascii="宋体" w:hAnsi="宋体" w:eastAsia="宋体" w:cs="宋体"/>
          <w:color w:val="auto"/>
          <w:kern w:val="0"/>
          <w:sz w:val="28"/>
          <w:szCs w:val="28"/>
          <w:highlight w:val="none"/>
        </w:rPr>
        <w:br w:type="page"/>
      </w:r>
      <w:bookmarkStart w:id="19" w:name="_Toc8720"/>
      <w:r>
        <w:rPr>
          <w:rFonts w:hint="eastAsia" w:ascii="宋体" w:hAnsi="宋体" w:eastAsia="宋体" w:cs="宋体"/>
          <w:color w:val="auto"/>
          <w:kern w:val="0"/>
          <w:sz w:val="28"/>
          <w:szCs w:val="28"/>
          <w:highlight w:val="none"/>
        </w:rPr>
        <w:t>二、投标人须知</w:t>
      </w:r>
      <w:bookmarkEnd w:id="12"/>
      <w:bookmarkEnd w:id="13"/>
      <w:bookmarkEnd w:id="14"/>
      <w:bookmarkEnd w:id="19"/>
    </w:p>
    <w:p w14:paraId="70825502">
      <w:pPr>
        <w:autoSpaceDE w:val="0"/>
        <w:autoSpaceDN w:val="0"/>
        <w:adjustRightInd w:val="0"/>
        <w:spacing w:line="200" w:lineRule="exact"/>
        <w:jc w:val="center"/>
        <w:rPr>
          <w:rFonts w:hint="eastAsia" w:ascii="宋体" w:hAnsi="宋体" w:eastAsia="宋体" w:cs="宋体"/>
          <w:color w:val="auto"/>
          <w:kern w:val="0"/>
          <w:highlight w:val="none"/>
        </w:rPr>
      </w:pPr>
    </w:p>
    <w:bookmarkEnd w:id="15"/>
    <w:bookmarkEnd w:id="16"/>
    <w:bookmarkEnd w:id="17"/>
    <w:bookmarkEnd w:id="18"/>
    <w:p w14:paraId="20E46324">
      <w:pPr>
        <w:pStyle w:val="125"/>
        <w:outlineLvl w:val="2"/>
        <w:rPr>
          <w:rFonts w:hint="eastAsia" w:ascii="宋体" w:hAnsi="宋体" w:eastAsia="宋体" w:cs="宋体"/>
          <w:color w:val="auto"/>
          <w:sz w:val="21"/>
          <w:szCs w:val="21"/>
          <w:highlight w:val="none"/>
        </w:rPr>
      </w:pPr>
      <w:bookmarkStart w:id="20" w:name="_Toc24112407"/>
      <w:bookmarkStart w:id="21" w:name="_Toc286752016"/>
      <w:bookmarkStart w:id="22" w:name="_Toc7499"/>
      <w:bookmarkStart w:id="23" w:name="_Toc282595506"/>
      <w:bookmarkStart w:id="24" w:name="_Toc248313651"/>
      <w:bookmarkStart w:id="25" w:name="_Toc109623154"/>
      <w:r>
        <w:rPr>
          <w:rFonts w:hint="eastAsia" w:ascii="宋体" w:hAnsi="宋体" w:eastAsia="宋体" w:cs="宋体"/>
          <w:color w:val="auto"/>
          <w:sz w:val="21"/>
          <w:szCs w:val="21"/>
          <w:highlight w:val="none"/>
        </w:rPr>
        <w:t>1. 总则</w:t>
      </w:r>
      <w:bookmarkEnd w:id="20"/>
      <w:bookmarkEnd w:id="21"/>
      <w:bookmarkEnd w:id="22"/>
      <w:bookmarkEnd w:id="23"/>
    </w:p>
    <w:p w14:paraId="2C23D223">
      <w:pPr>
        <w:pStyle w:val="174"/>
        <w:outlineLvl w:val="9"/>
        <w:rPr>
          <w:rFonts w:hint="eastAsia" w:ascii="宋体" w:hAnsi="宋体" w:eastAsia="宋体" w:cs="宋体"/>
          <w:color w:val="auto"/>
          <w:sz w:val="21"/>
          <w:szCs w:val="21"/>
          <w:highlight w:val="none"/>
        </w:rPr>
      </w:pPr>
      <w:bookmarkStart w:id="26" w:name="_Toc152042306"/>
      <w:bookmarkStart w:id="27" w:name="_Toc144974498"/>
      <w:bookmarkStart w:id="28" w:name="_Toc179632547"/>
      <w:bookmarkStart w:id="29" w:name="_Toc152045530"/>
      <w:r>
        <w:rPr>
          <w:rFonts w:hint="eastAsia" w:ascii="宋体" w:hAnsi="宋体" w:eastAsia="宋体" w:cs="宋体"/>
          <w:color w:val="auto"/>
          <w:sz w:val="21"/>
          <w:szCs w:val="21"/>
          <w:highlight w:val="none"/>
        </w:rPr>
        <w:t>1.1 项目概况</w:t>
      </w:r>
      <w:bookmarkEnd w:id="26"/>
      <w:bookmarkEnd w:id="27"/>
      <w:bookmarkEnd w:id="28"/>
      <w:bookmarkEnd w:id="29"/>
    </w:p>
    <w:p w14:paraId="57500B8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1.1.1根据《中华人民共和国招标投标法》等有关法律、法规和规章的规定，本招标项目已具备招标条件，现对本项目进行招标。</w:t>
      </w:r>
    </w:p>
    <w:p w14:paraId="4AD39D3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1.1.2 本招标项目招标人：</w:t>
      </w:r>
      <w:r>
        <w:rPr>
          <w:rFonts w:hint="eastAsia" w:ascii="宋体" w:hAnsi="宋体" w:eastAsia="宋体" w:cs="宋体"/>
          <w:color w:val="auto"/>
          <w:kern w:val="0"/>
          <w:highlight w:val="none"/>
        </w:rPr>
        <w:t>见投标人须知前附表。</w:t>
      </w:r>
    </w:p>
    <w:p w14:paraId="77152DE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1.1.3本招标项目招标代理机构：见投标人须知前附表。</w:t>
      </w:r>
    </w:p>
    <w:p w14:paraId="4BE54281">
      <w:pPr>
        <w:pStyle w:val="174"/>
        <w:outlineLvl w:val="9"/>
        <w:rPr>
          <w:rFonts w:hint="eastAsia" w:ascii="宋体" w:hAnsi="宋体" w:eastAsia="宋体" w:cs="宋体"/>
          <w:color w:val="auto"/>
          <w:sz w:val="21"/>
          <w:szCs w:val="21"/>
          <w:highlight w:val="none"/>
        </w:rPr>
      </w:pPr>
      <w:bookmarkStart w:id="30" w:name="_Toc179632549"/>
      <w:bookmarkStart w:id="31" w:name="_Toc144974500"/>
      <w:bookmarkStart w:id="32" w:name="_Toc152042308"/>
      <w:bookmarkStart w:id="33" w:name="_Toc152045532"/>
      <w:r>
        <w:rPr>
          <w:rFonts w:hint="eastAsia" w:ascii="宋体" w:hAnsi="宋体" w:eastAsia="宋体" w:cs="宋体"/>
          <w:color w:val="auto"/>
          <w:sz w:val="21"/>
          <w:szCs w:val="21"/>
          <w:highlight w:val="none"/>
        </w:rPr>
        <w:t>1.2招标范围、计划交货期和质量要求</w:t>
      </w:r>
      <w:bookmarkEnd w:id="30"/>
      <w:bookmarkEnd w:id="31"/>
      <w:bookmarkEnd w:id="32"/>
      <w:bookmarkEnd w:id="33"/>
      <w:r>
        <w:rPr>
          <w:rFonts w:hint="eastAsia" w:ascii="宋体" w:hAnsi="宋体" w:eastAsia="宋体" w:cs="宋体"/>
          <w:color w:val="auto"/>
          <w:sz w:val="21"/>
          <w:szCs w:val="21"/>
          <w:highlight w:val="none"/>
        </w:rPr>
        <w:t>：见投标人须知前附表。</w:t>
      </w:r>
    </w:p>
    <w:p w14:paraId="3397289E">
      <w:pPr>
        <w:spacing w:line="400" w:lineRule="exact"/>
        <w:rPr>
          <w:rFonts w:hint="eastAsia" w:ascii="宋体" w:hAnsi="宋体" w:eastAsia="宋体" w:cs="宋体"/>
          <w:color w:val="auto"/>
          <w:highlight w:val="none"/>
        </w:rPr>
      </w:pPr>
      <w:bookmarkStart w:id="34" w:name="_Toc144974502"/>
      <w:bookmarkStart w:id="35" w:name="_Toc152045534"/>
      <w:bookmarkStart w:id="36" w:name="_Toc179632551"/>
      <w:bookmarkStart w:id="37" w:name="_Toc152042310"/>
      <w:r>
        <w:rPr>
          <w:rFonts w:hint="eastAsia" w:ascii="宋体" w:hAnsi="宋体" w:eastAsia="宋体" w:cs="宋体"/>
          <w:color w:val="auto"/>
          <w:highlight w:val="none"/>
        </w:rPr>
        <w:t>1.3 投标人资格要求</w:t>
      </w:r>
      <w:bookmarkEnd w:id="34"/>
      <w:bookmarkEnd w:id="35"/>
      <w:bookmarkEnd w:id="36"/>
      <w:bookmarkEnd w:id="37"/>
    </w:p>
    <w:p w14:paraId="3D6949B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1.3.1投标人应具备承担本项目的资质条件、能力和信誉，具体要求见投标人须知前附表。</w:t>
      </w:r>
    </w:p>
    <w:p w14:paraId="2C6BDAAB">
      <w:pPr>
        <w:spacing w:line="40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highlight w:val="none"/>
        </w:rPr>
        <w:t>1.3.2联合体投标（允许/不允许）：见投标人须知前附表。</w:t>
      </w:r>
    </w:p>
    <w:p w14:paraId="1873F03B">
      <w:pPr>
        <w:spacing w:line="400" w:lineRule="exact"/>
        <w:ind w:firstLine="420" w:firstLineChars="200"/>
        <w:rPr>
          <w:rFonts w:hint="eastAsia" w:ascii="宋体" w:hAnsi="宋体" w:eastAsia="宋体" w:cs="宋体"/>
          <w:color w:val="auto"/>
          <w:highlight w:val="none"/>
        </w:rPr>
      </w:pPr>
      <w:bookmarkStart w:id="38" w:name="_Toc179632552"/>
      <w:bookmarkStart w:id="39" w:name="_Toc152042311"/>
      <w:bookmarkStart w:id="40" w:name="_Toc152045535"/>
      <w:bookmarkStart w:id="41" w:name="_Toc144974503"/>
      <w:r>
        <w:rPr>
          <w:rFonts w:hint="eastAsia" w:ascii="宋体" w:hAnsi="宋体" w:eastAsia="宋体" w:cs="宋体"/>
          <w:color w:val="auto"/>
          <w:highlight w:val="none"/>
        </w:rPr>
        <w:t>1.3.3 投标人不得存在下列情形之一：</w:t>
      </w:r>
    </w:p>
    <w:p w14:paraId="59B53BB4">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 xml:space="preserve">（1）为招标人不具有独立法人资格的附属机构（单位）； </w:t>
      </w:r>
    </w:p>
    <w:p w14:paraId="4BB7F40E">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 xml:space="preserve">（2）被责令停业的； </w:t>
      </w:r>
    </w:p>
    <w:p w14:paraId="12CD62B2">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 xml:space="preserve">（3）被暂停或取消投标资格的； </w:t>
      </w:r>
    </w:p>
    <w:p w14:paraId="654BE32E">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（4）财产被接管或冻结的；</w:t>
      </w:r>
    </w:p>
    <w:p w14:paraId="7BF07C83">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（5）在最近三年内有骗取中标或严重违约或重大质量问题的；</w:t>
      </w:r>
    </w:p>
    <w:p w14:paraId="613FE33F">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kern w:val="0"/>
          <w:highlight w:val="none"/>
        </w:rPr>
        <w:t>（6）法律、法规规定的各种无效投标的情形。</w:t>
      </w:r>
    </w:p>
    <w:p w14:paraId="2AD62ED5">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1.4费用承担</w:t>
      </w:r>
      <w:bookmarkEnd w:id="38"/>
      <w:bookmarkEnd w:id="39"/>
      <w:bookmarkEnd w:id="40"/>
      <w:bookmarkEnd w:id="41"/>
    </w:p>
    <w:p w14:paraId="5817840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14:paraId="591A8185">
      <w:pPr>
        <w:spacing w:line="400" w:lineRule="exact"/>
        <w:rPr>
          <w:rFonts w:hint="eastAsia" w:ascii="宋体" w:hAnsi="宋体" w:eastAsia="宋体" w:cs="宋体"/>
          <w:color w:val="auto"/>
          <w:highlight w:val="none"/>
        </w:rPr>
      </w:pPr>
      <w:bookmarkStart w:id="42" w:name="_Toc144974504"/>
      <w:bookmarkStart w:id="43" w:name="_Toc152042312"/>
      <w:bookmarkStart w:id="44" w:name="_Toc152045536"/>
      <w:bookmarkStart w:id="45" w:name="_Toc179632553"/>
      <w:r>
        <w:rPr>
          <w:rFonts w:hint="eastAsia" w:ascii="宋体" w:hAnsi="宋体" w:eastAsia="宋体" w:cs="宋体"/>
          <w:color w:val="auto"/>
          <w:highlight w:val="none"/>
        </w:rPr>
        <w:t>1.5 保密</w:t>
      </w:r>
      <w:bookmarkEnd w:id="42"/>
      <w:bookmarkEnd w:id="43"/>
      <w:bookmarkEnd w:id="44"/>
      <w:bookmarkEnd w:id="45"/>
    </w:p>
    <w:p w14:paraId="2AB258EA">
      <w:pPr>
        <w:spacing w:line="360" w:lineRule="auto"/>
        <w:ind w:firstLine="308" w:firstLineChars="147"/>
        <w:rPr>
          <w:rFonts w:hint="eastAsia" w:ascii="宋体" w:hAnsi="宋体" w:eastAsia="宋体" w:cs="宋体"/>
          <w:color w:val="auto"/>
          <w:sz w:val="24"/>
          <w:highlight w:val="none"/>
        </w:rPr>
      </w:pPr>
      <w:bookmarkStart w:id="46" w:name="_Toc144974505"/>
      <w:bookmarkStart w:id="47" w:name="_Toc152042313"/>
      <w:bookmarkStart w:id="48" w:name="_Toc152045537"/>
      <w:bookmarkStart w:id="49" w:name="_Toc179632554"/>
      <w:r>
        <w:rPr>
          <w:rFonts w:hint="eastAsia" w:ascii="宋体" w:hAnsi="宋体" w:eastAsia="宋体" w:cs="宋体"/>
          <w:color w:val="auto"/>
          <w:highlight w:val="none"/>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4D2C6F05">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1.6 语言</w:t>
      </w:r>
      <w:bookmarkEnd w:id="46"/>
      <w:r>
        <w:rPr>
          <w:rFonts w:hint="eastAsia" w:ascii="宋体" w:hAnsi="宋体" w:eastAsia="宋体" w:cs="宋体"/>
          <w:color w:val="auto"/>
          <w:highlight w:val="none"/>
        </w:rPr>
        <w:t>文字</w:t>
      </w:r>
      <w:bookmarkEnd w:id="47"/>
      <w:bookmarkEnd w:id="48"/>
      <w:bookmarkEnd w:id="49"/>
    </w:p>
    <w:p w14:paraId="0C889A2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除专用术语外，与招标投标有关的语言均使用中文。必要时专用术语应附有中文注释。</w:t>
      </w:r>
    </w:p>
    <w:p w14:paraId="1E161DEC">
      <w:pPr>
        <w:spacing w:line="400" w:lineRule="exact"/>
        <w:rPr>
          <w:rFonts w:hint="eastAsia" w:ascii="宋体" w:hAnsi="宋体" w:eastAsia="宋体" w:cs="宋体"/>
          <w:color w:val="auto"/>
          <w:highlight w:val="none"/>
        </w:rPr>
      </w:pPr>
      <w:bookmarkStart w:id="50" w:name="_Toc152045538"/>
      <w:bookmarkStart w:id="51" w:name="_Toc179632555"/>
      <w:bookmarkStart w:id="52" w:name="_Toc152042314"/>
      <w:bookmarkStart w:id="53" w:name="_Toc144974506"/>
      <w:r>
        <w:rPr>
          <w:rFonts w:hint="eastAsia" w:ascii="宋体" w:hAnsi="宋体" w:eastAsia="宋体" w:cs="宋体"/>
          <w:color w:val="auto"/>
          <w:highlight w:val="none"/>
        </w:rPr>
        <w:t>1.7 计量单位</w:t>
      </w:r>
      <w:bookmarkEnd w:id="50"/>
      <w:bookmarkEnd w:id="51"/>
      <w:bookmarkEnd w:id="52"/>
      <w:bookmarkEnd w:id="53"/>
    </w:p>
    <w:p w14:paraId="0924211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所有计量均采用中华人民共和国法定计量单位。</w:t>
      </w:r>
    </w:p>
    <w:p w14:paraId="6A097B39">
      <w:pPr>
        <w:pStyle w:val="174"/>
        <w:outlineLvl w:val="9"/>
        <w:rPr>
          <w:rFonts w:hint="eastAsia" w:ascii="宋体" w:hAnsi="宋体" w:eastAsia="宋体" w:cs="宋体"/>
          <w:color w:val="auto"/>
          <w:sz w:val="21"/>
          <w:szCs w:val="21"/>
          <w:highlight w:val="none"/>
        </w:rPr>
      </w:pPr>
      <w:bookmarkStart w:id="54" w:name="_Toc144974510"/>
      <w:bookmarkStart w:id="55" w:name="_Toc152042318"/>
      <w:bookmarkStart w:id="56" w:name="_Toc152045542"/>
      <w:bookmarkStart w:id="57" w:name="_Toc179632560"/>
      <w:r>
        <w:rPr>
          <w:rFonts w:hint="eastAsia" w:ascii="宋体" w:hAnsi="宋体" w:eastAsia="宋体" w:cs="宋体"/>
          <w:color w:val="auto"/>
          <w:sz w:val="21"/>
          <w:szCs w:val="21"/>
          <w:highlight w:val="none"/>
        </w:rPr>
        <w:t>1.8投标预备会及现场踏勘：见投标人须知前附表。</w:t>
      </w:r>
    </w:p>
    <w:p w14:paraId="5F5C93D1">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 偏离</w:t>
      </w:r>
    </w:p>
    <w:p w14:paraId="450DD440">
      <w:pPr>
        <w:adjustRightInd w:val="0"/>
        <w:snapToGrid w:val="0"/>
        <w:spacing w:line="360" w:lineRule="auto"/>
        <w:ind w:firstLine="420" w:firstLineChars="200"/>
        <w:rPr>
          <w:rFonts w:hint="eastAsia" w:ascii="宋体" w:hAnsi="宋体" w:eastAsia="宋体" w:cs="宋体"/>
          <w:color w:val="auto"/>
          <w:highlight w:val="none"/>
        </w:rPr>
      </w:pPr>
      <w:bookmarkStart w:id="58" w:name="_Toc282595507"/>
      <w:bookmarkStart w:id="59" w:name="_Toc286752017"/>
      <w:r>
        <w:rPr>
          <w:rFonts w:hint="eastAsia" w:ascii="宋体" w:hAnsi="宋体" w:eastAsia="宋体" w:cs="宋体"/>
          <w:color w:val="auto"/>
          <w:highlight w:val="none"/>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372BF8CE">
      <w:pPr>
        <w:pStyle w:val="125"/>
        <w:outlineLvl w:val="2"/>
        <w:rPr>
          <w:rFonts w:hint="eastAsia" w:ascii="宋体" w:hAnsi="宋体" w:eastAsia="宋体" w:cs="宋体"/>
          <w:color w:val="auto"/>
          <w:sz w:val="21"/>
          <w:szCs w:val="21"/>
          <w:highlight w:val="none"/>
        </w:rPr>
      </w:pPr>
      <w:bookmarkStart w:id="60" w:name="_Toc24112408"/>
      <w:bookmarkStart w:id="61" w:name="_Toc27368"/>
      <w:r>
        <w:rPr>
          <w:rFonts w:hint="eastAsia" w:ascii="宋体" w:hAnsi="宋体" w:eastAsia="宋体" w:cs="宋体"/>
          <w:color w:val="auto"/>
          <w:sz w:val="21"/>
          <w:szCs w:val="21"/>
          <w:highlight w:val="none"/>
        </w:rPr>
        <w:t>2. 招标文件</w:t>
      </w:r>
      <w:bookmarkEnd w:id="54"/>
      <w:bookmarkEnd w:id="55"/>
      <w:bookmarkEnd w:id="56"/>
      <w:bookmarkEnd w:id="57"/>
      <w:bookmarkEnd w:id="58"/>
      <w:bookmarkEnd w:id="59"/>
      <w:bookmarkEnd w:id="60"/>
      <w:bookmarkEnd w:id="61"/>
    </w:p>
    <w:p w14:paraId="7E64E639">
      <w:pPr>
        <w:pStyle w:val="174"/>
        <w:outlineLvl w:val="9"/>
        <w:rPr>
          <w:rFonts w:hint="eastAsia" w:ascii="宋体" w:hAnsi="宋体" w:eastAsia="宋体" w:cs="宋体"/>
          <w:color w:val="auto"/>
          <w:sz w:val="21"/>
          <w:szCs w:val="21"/>
          <w:highlight w:val="none"/>
        </w:rPr>
      </w:pPr>
      <w:bookmarkStart w:id="62" w:name="_Toc179632561"/>
      <w:bookmarkStart w:id="63" w:name="_Toc152042319"/>
      <w:bookmarkStart w:id="64" w:name="_Toc144974511"/>
      <w:bookmarkStart w:id="65" w:name="_Toc152045543"/>
      <w:r>
        <w:rPr>
          <w:rFonts w:hint="eastAsia" w:ascii="宋体" w:hAnsi="宋体" w:eastAsia="宋体" w:cs="宋体"/>
          <w:color w:val="auto"/>
          <w:sz w:val="21"/>
          <w:szCs w:val="21"/>
          <w:highlight w:val="none"/>
        </w:rPr>
        <w:t>2.1 招标文件的组成</w:t>
      </w:r>
      <w:bookmarkEnd w:id="62"/>
      <w:bookmarkEnd w:id="63"/>
      <w:bookmarkEnd w:id="64"/>
      <w:bookmarkEnd w:id="65"/>
    </w:p>
    <w:p w14:paraId="48357C5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本招标文件包括：</w:t>
      </w:r>
    </w:p>
    <w:p w14:paraId="0C636992">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（1）招标公告；</w:t>
      </w:r>
    </w:p>
    <w:p w14:paraId="05BE5574">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（2）投标人须知；</w:t>
      </w:r>
    </w:p>
    <w:p w14:paraId="0BC5A9DB">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（3）评标办法；</w:t>
      </w:r>
    </w:p>
    <w:p w14:paraId="3A31D30A">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（4）报价范围及商务报价要求</w:t>
      </w:r>
    </w:p>
    <w:p w14:paraId="5FA5A05F">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（5）技术标准和要求；</w:t>
      </w:r>
    </w:p>
    <w:p w14:paraId="30E323A1">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（6）合同主要条款；</w:t>
      </w:r>
    </w:p>
    <w:p w14:paraId="5CC4A8C4">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（7）投标文件格式；</w:t>
      </w:r>
    </w:p>
    <w:p w14:paraId="62C57A01">
      <w:pPr>
        <w:spacing w:line="400" w:lineRule="exact"/>
        <w:ind w:firstLine="359" w:firstLineChars="171"/>
        <w:rPr>
          <w:rFonts w:hint="eastAsia" w:ascii="宋体" w:hAnsi="宋体" w:eastAsia="宋体" w:cs="宋体"/>
          <w:color w:val="auto"/>
          <w:highlight w:val="none"/>
        </w:rPr>
      </w:pPr>
      <w:bookmarkStart w:id="66" w:name="_Toc179632562"/>
      <w:bookmarkStart w:id="67" w:name="_Toc152045544"/>
      <w:bookmarkStart w:id="68" w:name="_Toc152042320"/>
      <w:bookmarkStart w:id="69" w:name="_Toc144974512"/>
      <w:r>
        <w:rPr>
          <w:rFonts w:hint="eastAsia" w:ascii="宋体" w:hAnsi="宋体" w:eastAsia="宋体" w:cs="宋体"/>
          <w:color w:val="auto"/>
          <w:highlight w:val="none"/>
        </w:rPr>
        <w:t>招标人对招标文件所作的澄清、修改，将构成招标文件的组成部分。</w:t>
      </w:r>
    </w:p>
    <w:bookmarkEnd w:id="66"/>
    <w:bookmarkEnd w:id="67"/>
    <w:bookmarkEnd w:id="68"/>
    <w:bookmarkEnd w:id="69"/>
    <w:p w14:paraId="60DE46C3">
      <w:pPr>
        <w:pStyle w:val="174"/>
        <w:outlineLvl w:val="9"/>
        <w:rPr>
          <w:rFonts w:hint="eastAsia" w:ascii="宋体" w:hAnsi="宋体" w:eastAsia="宋体" w:cs="宋体"/>
          <w:color w:val="auto"/>
          <w:sz w:val="21"/>
          <w:szCs w:val="21"/>
          <w:highlight w:val="none"/>
        </w:rPr>
      </w:pPr>
      <w:bookmarkStart w:id="70" w:name="_Toc144974514"/>
      <w:bookmarkStart w:id="71" w:name="_Toc152045546"/>
      <w:bookmarkStart w:id="72" w:name="_Toc179632564"/>
      <w:bookmarkStart w:id="73" w:name="_Toc152042322"/>
      <w:r>
        <w:rPr>
          <w:rFonts w:hint="eastAsia" w:ascii="宋体" w:hAnsi="宋体" w:eastAsia="宋体" w:cs="宋体"/>
          <w:color w:val="auto"/>
          <w:sz w:val="21"/>
          <w:szCs w:val="21"/>
          <w:highlight w:val="none"/>
        </w:rPr>
        <w:t>2.2 投标人提出的对招标文件的澄清</w:t>
      </w:r>
    </w:p>
    <w:p w14:paraId="3047EAB5">
      <w:pPr>
        <w:pStyle w:val="174"/>
        <w:ind w:firstLine="315" w:firstLineChars="15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16A6A2AC">
      <w:pPr>
        <w:pStyle w:val="174"/>
        <w:ind w:firstLine="315" w:firstLineChars="15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 在投标截止时间前，招标人（招标代理机构）无论出于何种原因，可以对招标文件进行澄清或者修改。</w:t>
      </w:r>
    </w:p>
    <w:p w14:paraId="19053AC3">
      <w:pPr>
        <w:pStyle w:val="174"/>
        <w:ind w:firstLine="315" w:firstLineChars="15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招标人（招标代理机构）对已发出的招标文件进行澄清或者修改，在四川九洲投资控股集团有限公司官网（https://www.jezetek.cc/）和中国招标采购信息网（http://www.sczbcg.com/index.html）上以变更公告的形式发布，但不指明澄清问题的来源。该澄清或者修改的内容为招标文件的组成部分。</w:t>
      </w:r>
    </w:p>
    <w:p w14:paraId="104273F8">
      <w:pPr>
        <w:pStyle w:val="174"/>
        <w:ind w:firstLine="315" w:firstLineChars="150"/>
        <w:outlineLvl w:val="9"/>
        <w:rPr>
          <w:rFonts w:hint="eastAsia" w:ascii="宋体" w:hAnsi="宋体" w:eastAsia="宋体" w:cs="宋体"/>
          <w:color w:val="auto"/>
          <w:highlight w:val="none"/>
        </w:rPr>
      </w:pPr>
      <w:r>
        <w:rPr>
          <w:rFonts w:hint="eastAsia" w:ascii="宋体" w:hAnsi="宋体" w:eastAsia="宋体" w:cs="宋体"/>
          <w:color w:val="auto"/>
          <w:sz w:val="21"/>
          <w:szCs w:val="21"/>
          <w:highlight w:val="none"/>
        </w:rPr>
        <w:t>2.2.4在投标截止时间前，招标人（招标代理机构）可以视招标具体情况，延长投标截止时间和开标时间，并将变更时间通过变更公告形式发布在四川九洲投资控股集团有限公司官网（https://www.jezetek.cc/）和中国招标采购信息网（http://www.sczbcg.com/index.html）。</w:t>
      </w:r>
    </w:p>
    <w:p w14:paraId="2719A4E8">
      <w:pPr>
        <w:pStyle w:val="125"/>
        <w:outlineLvl w:val="2"/>
        <w:rPr>
          <w:rFonts w:hint="eastAsia" w:ascii="宋体" w:hAnsi="宋体" w:eastAsia="宋体" w:cs="宋体"/>
          <w:color w:val="auto"/>
          <w:sz w:val="21"/>
          <w:szCs w:val="21"/>
          <w:highlight w:val="none"/>
        </w:rPr>
      </w:pPr>
      <w:bookmarkStart w:id="74" w:name="_Toc282595508"/>
      <w:bookmarkStart w:id="75" w:name="_Toc24112409"/>
      <w:bookmarkStart w:id="76" w:name="_Toc286752018"/>
      <w:bookmarkStart w:id="77" w:name="_Toc13720"/>
      <w:r>
        <w:rPr>
          <w:rFonts w:hint="eastAsia" w:ascii="宋体" w:hAnsi="宋体" w:eastAsia="宋体" w:cs="宋体"/>
          <w:color w:val="auto"/>
          <w:sz w:val="21"/>
          <w:szCs w:val="21"/>
          <w:highlight w:val="none"/>
        </w:rPr>
        <w:t>3. 投标文件</w:t>
      </w:r>
      <w:bookmarkEnd w:id="70"/>
      <w:bookmarkEnd w:id="71"/>
      <w:bookmarkEnd w:id="72"/>
      <w:bookmarkEnd w:id="73"/>
      <w:bookmarkEnd w:id="74"/>
      <w:bookmarkEnd w:id="75"/>
      <w:bookmarkEnd w:id="76"/>
      <w:bookmarkEnd w:id="77"/>
    </w:p>
    <w:p w14:paraId="792076F2">
      <w:pPr>
        <w:pStyle w:val="174"/>
        <w:outlineLvl w:val="9"/>
        <w:rPr>
          <w:rFonts w:hint="eastAsia" w:ascii="宋体" w:hAnsi="宋体" w:eastAsia="宋体" w:cs="宋体"/>
          <w:color w:val="auto"/>
          <w:sz w:val="21"/>
          <w:szCs w:val="21"/>
          <w:highlight w:val="none"/>
        </w:rPr>
      </w:pPr>
      <w:bookmarkStart w:id="78" w:name="_Toc179632565"/>
      <w:bookmarkStart w:id="79" w:name="_Toc144974515"/>
      <w:bookmarkStart w:id="80" w:name="_Toc152045547"/>
      <w:bookmarkStart w:id="81" w:name="_Toc152042323"/>
      <w:r>
        <w:rPr>
          <w:rFonts w:hint="eastAsia" w:ascii="宋体" w:hAnsi="宋体" w:eastAsia="宋体" w:cs="宋体"/>
          <w:color w:val="auto"/>
          <w:sz w:val="21"/>
          <w:szCs w:val="21"/>
          <w:highlight w:val="none"/>
        </w:rPr>
        <w:t>3.1 投标文件的组成</w:t>
      </w:r>
      <w:bookmarkEnd w:id="78"/>
      <w:bookmarkEnd w:id="79"/>
      <w:bookmarkEnd w:id="80"/>
      <w:bookmarkEnd w:id="81"/>
    </w:p>
    <w:p w14:paraId="6FCFDE3A">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投标文件应包括下列内容：</w:t>
      </w:r>
    </w:p>
    <w:p w14:paraId="26B4194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（1）投标函；</w:t>
      </w:r>
    </w:p>
    <w:p w14:paraId="017869A5">
      <w:pPr>
        <w:tabs>
          <w:tab w:val="left" w:pos="2340"/>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（2）资格证明材料；</w:t>
      </w:r>
    </w:p>
    <w:p w14:paraId="54D23B1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（3）法定代表人身份证明、授权委托书；</w:t>
      </w:r>
    </w:p>
    <w:p w14:paraId="2B4AE5A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（4）开标一览表及分项报价表；</w:t>
      </w:r>
    </w:p>
    <w:p w14:paraId="71A4AD0D">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（5）商务应答表；</w:t>
      </w:r>
    </w:p>
    <w:p w14:paraId="2B7B826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（6）技术应答表；</w:t>
      </w:r>
    </w:p>
    <w:p w14:paraId="156FEDA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（7）要求提供的其它材料（比如评分标准涉及评标专家打分所需的所有资料）。</w:t>
      </w:r>
    </w:p>
    <w:p w14:paraId="4C351661">
      <w:pPr>
        <w:spacing w:line="400" w:lineRule="exact"/>
        <w:ind w:firstLine="420" w:firstLineChars="200"/>
        <w:rPr>
          <w:rFonts w:hint="eastAsia" w:ascii="宋体" w:hAnsi="宋体" w:eastAsia="宋体" w:cs="宋体"/>
          <w:color w:val="auto"/>
          <w:highlight w:val="none"/>
        </w:rPr>
      </w:pPr>
      <w:bookmarkStart w:id="82" w:name="_Toc152042324"/>
      <w:bookmarkStart w:id="83" w:name="_Toc152045548"/>
      <w:bookmarkStart w:id="84" w:name="_Toc144974516"/>
      <w:bookmarkStart w:id="85" w:name="_Toc179632566"/>
      <w:r>
        <w:rPr>
          <w:rFonts w:hint="eastAsia" w:ascii="宋体" w:hAnsi="宋体" w:eastAsia="宋体" w:cs="宋体"/>
          <w:color w:val="auto"/>
          <w:highlight w:val="none"/>
        </w:rPr>
        <w:t xml:space="preserve">3.2 </w:t>
      </w:r>
      <w:bookmarkEnd w:id="82"/>
      <w:bookmarkEnd w:id="83"/>
      <w:bookmarkEnd w:id="84"/>
      <w:bookmarkEnd w:id="85"/>
      <w:r>
        <w:rPr>
          <w:rFonts w:hint="eastAsia" w:ascii="宋体" w:hAnsi="宋体" w:eastAsia="宋体" w:cs="宋体"/>
          <w:color w:val="auto"/>
          <w:highlight w:val="none"/>
        </w:rPr>
        <w:t>投标文件格式</w:t>
      </w:r>
    </w:p>
    <w:p w14:paraId="4B9C875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3.2.1 投标人应按照招标文件第七章中提供的“投标文件格式”填写相关内容。除明确允许投标人可以自行编写的外，投标人不得以“投标文件格式”规定之外的方式填写相关内容。</w:t>
      </w:r>
    </w:p>
    <w:p w14:paraId="2F596E4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3.2.2 对于没有格式要求的投标文件由投标人自行编写。</w:t>
      </w:r>
    </w:p>
    <w:p w14:paraId="13C2294D">
      <w:pPr>
        <w:pStyle w:val="174"/>
        <w:outlineLvl w:val="9"/>
        <w:rPr>
          <w:rFonts w:hint="eastAsia" w:ascii="宋体" w:hAnsi="宋体" w:eastAsia="宋体" w:cs="宋体"/>
          <w:color w:val="auto"/>
          <w:sz w:val="21"/>
          <w:szCs w:val="21"/>
          <w:highlight w:val="none"/>
        </w:rPr>
      </w:pPr>
      <w:bookmarkStart w:id="86" w:name="_Toc144974518"/>
      <w:bookmarkStart w:id="87" w:name="_Toc152042326"/>
      <w:bookmarkStart w:id="88" w:name="_Toc152045550"/>
      <w:bookmarkStart w:id="89" w:name="_Toc179632568"/>
      <w:r>
        <w:rPr>
          <w:rFonts w:hint="eastAsia" w:ascii="宋体" w:hAnsi="宋体" w:eastAsia="宋体" w:cs="宋体"/>
          <w:color w:val="auto"/>
          <w:sz w:val="21"/>
          <w:szCs w:val="21"/>
          <w:highlight w:val="none"/>
        </w:rPr>
        <w:t>3.3 投标有效期</w:t>
      </w:r>
    </w:p>
    <w:p w14:paraId="79E6940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3.3.1在投标有效期内，投标人不得要求撤销或修改其投标文件。</w:t>
      </w:r>
    </w:p>
    <w:p w14:paraId="3269BD07">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6"/>
    <w:bookmarkEnd w:id="87"/>
    <w:bookmarkEnd w:id="88"/>
    <w:bookmarkEnd w:id="89"/>
    <w:p w14:paraId="7A78351F">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 投标保证金</w:t>
      </w:r>
    </w:p>
    <w:p w14:paraId="6028DE5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3.4.1 投标人应按投标人须知前附表规定的金额、方式缴纳投标保证金。</w:t>
      </w:r>
    </w:p>
    <w:p w14:paraId="2527EDC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3.4.2 投标人不按要求提交投标保证金的，其投标文件作废标处理。</w:t>
      </w:r>
    </w:p>
    <w:p w14:paraId="7585EAD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3.4.3 投标保证金退还：见投标人须知前附表。</w:t>
      </w:r>
    </w:p>
    <w:p w14:paraId="614C198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3.4.4投标保证金不予退还的情形：见投标人须知前附表。</w:t>
      </w:r>
    </w:p>
    <w:p w14:paraId="51AD0A0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3.4.5 投标保证金的有效期应当与投标有效期保持一致，投标保证金有效期不满足要求的，其投标文件做废标处理。</w:t>
      </w:r>
    </w:p>
    <w:p w14:paraId="39AB9FBF">
      <w:pPr>
        <w:pStyle w:val="174"/>
        <w:outlineLvl w:val="9"/>
        <w:rPr>
          <w:rFonts w:hint="eastAsia" w:ascii="宋体" w:hAnsi="宋体" w:eastAsia="宋体" w:cs="宋体"/>
          <w:color w:val="auto"/>
          <w:sz w:val="21"/>
          <w:szCs w:val="21"/>
          <w:highlight w:val="none"/>
        </w:rPr>
      </w:pPr>
      <w:bookmarkStart w:id="90" w:name="_Toc152045555"/>
      <w:bookmarkStart w:id="91" w:name="_Toc152042331"/>
      <w:bookmarkStart w:id="92" w:name="_Toc179632573"/>
      <w:bookmarkStart w:id="93" w:name="_Toc144974523"/>
      <w:r>
        <w:rPr>
          <w:rFonts w:hint="eastAsia" w:ascii="宋体" w:hAnsi="宋体" w:eastAsia="宋体" w:cs="宋体"/>
          <w:color w:val="auto"/>
          <w:sz w:val="21"/>
          <w:szCs w:val="21"/>
          <w:highlight w:val="none"/>
        </w:rPr>
        <w:t>3.5 资格审查资料</w:t>
      </w:r>
    </w:p>
    <w:p w14:paraId="18DC505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见第四章中初步评审表及招标文件其它相关要求。</w:t>
      </w:r>
    </w:p>
    <w:p w14:paraId="47B72D65">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 备选投标方案</w:t>
      </w:r>
    </w:p>
    <w:p w14:paraId="6F72AAD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见投标人须知前附表。</w:t>
      </w:r>
    </w:p>
    <w:p w14:paraId="5C5F4D73">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 投标文件的编制</w:t>
      </w:r>
    </w:p>
    <w:p w14:paraId="433CC1ED">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32E7797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3.7.2 投标文件应当对招标文件有关投标有效期、质量要求、付款方式、技术标准和要求、招标范围等相关实质性内容作出响应。</w:t>
      </w:r>
    </w:p>
    <w:p w14:paraId="2DF6CB2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2F8E3227">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3.8.投标文件的密封和标注</w:t>
      </w:r>
    </w:p>
    <w:p w14:paraId="4C267DD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3.8.1 投标人应在投标文件正本和所有副本的封面上注明投标人名称、招标编号、项目名称。</w:t>
      </w:r>
    </w:p>
    <w:p w14:paraId="74A2AD0B">
      <w:pPr>
        <w:spacing w:line="400" w:lineRule="exact"/>
        <w:ind w:firstLine="420" w:firstLineChars="200"/>
        <w:rPr>
          <w:rFonts w:hint="eastAsia" w:ascii="宋体" w:hAnsi="宋体" w:eastAsia="宋体" w:cs="宋体"/>
          <w:b/>
          <w:bCs/>
          <w:color w:val="auto"/>
          <w:highlight w:val="none"/>
        </w:rPr>
      </w:pPr>
      <w:r>
        <w:rPr>
          <w:rFonts w:hint="eastAsia" w:ascii="宋体" w:hAnsi="宋体" w:eastAsia="宋体" w:cs="宋体"/>
          <w:color w:val="auto"/>
          <w:highlight w:val="none"/>
        </w:rPr>
        <w:t>3.8.2</w:t>
      </w:r>
      <w:r>
        <w:rPr>
          <w:rFonts w:hint="eastAsia" w:ascii="宋体" w:hAnsi="宋体" w:eastAsia="宋体" w:cs="宋体"/>
          <w:b/>
          <w:bCs/>
          <w:color w:val="auto"/>
          <w:highlight w:val="none"/>
        </w:rPr>
        <w:t>投标文件正本、所有副本、电子档（U盘）和招标文件要求单独提交的开标一览表，应分别封装于不同的密封袋内，密封袋上应分别标上“正本”、“副本”、“电子文档”、“开标一览表”字样，并注明投标人名称、招标编号、项目名称。</w:t>
      </w:r>
    </w:p>
    <w:p w14:paraId="5953A7F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3.8.3 所有外层密封袋的封口处应粘贴牢固，并加盖密封章（投标人印章）。</w:t>
      </w:r>
    </w:p>
    <w:p w14:paraId="008B762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3.8.4未按以上要求进行密封和标注的投标文件将被拒绝。</w:t>
      </w:r>
    </w:p>
    <w:p w14:paraId="0453C87B">
      <w:pPr>
        <w:pStyle w:val="125"/>
        <w:numPr>
          <w:ilvl w:val="0"/>
          <w:numId w:val="19"/>
        </w:numPr>
        <w:outlineLvl w:val="2"/>
        <w:rPr>
          <w:rFonts w:hint="eastAsia" w:ascii="宋体" w:hAnsi="宋体" w:eastAsia="宋体" w:cs="宋体"/>
          <w:color w:val="auto"/>
          <w:sz w:val="21"/>
          <w:szCs w:val="21"/>
          <w:highlight w:val="none"/>
        </w:rPr>
      </w:pPr>
      <w:bookmarkStart w:id="94" w:name="_Toc9890"/>
      <w:r>
        <w:rPr>
          <w:rFonts w:hint="eastAsia" w:ascii="宋体" w:hAnsi="宋体" w:eastAsia="宋体" w:cs="宋体"/>
          <w:color w:val="auto"/>
          <w:sz w:val="21"/>
          <w:szCs w:val="21"/>
          <w:highlight w:val="none"/>
        </w:rPr>
        <w:t>投标</w:t>
      </w:r>
      <w:bookmarkEnd w:id="94"/>
    </w:p>
    <w:bookmarkEnd w:id="90"/>
    <w:bookmarkEnd w:id="91"/>
    <w:bookmarkEnd w:id="92"/>
    <w:bookmarkEnd w:id="93"/>
    <w:p w14:paraId="746833CE">
      <w:pPr>
        <w:pStyle w:val="125"/>
        <w:outlineLvl w:val="2"/>
        <w:rPr>
          <w:rFonts w:hint="eastAsia" w:ascii="宋体" w:hAnsi="宋体" w:eastAsia="宋体" w:cs="宋体"/>
          <w:color w:val="auto"/>
          <w:sz w:val="21"/>
          <w:szCs w:val="21"/>
          <w:highlight w:val="none"/>
        </w:rPr>
      </w:pPr>
      <w:bookmarkStart w:id="95" w:name="_Toc23845"/>
      <w:bookmarkStart w:id="96" w:name="_Toc152045562"/>
      <w:bookmarkStart w:id="97" w:name="_Toc152042338"/>
      <w:bookmarkStart w:id="98" w:name="_Toc179632580"/>
      <w:bookmarkStart w:id="99" w:name="_Toc144974530"/>
      <w:r>
        <w:rPr>
          <w:rFonts w:hint="eastAsia" w:ascii="宋体" w:hAnsi="宋体" w:eastAsia="宋体" w:cs="宋体"/>
          <w:color w:val="auto"/>
          <w:sz w:val="21"/>
          <w:szCs w:val="21"/>
          <w:highlight w:val="none"/>
        </w:rPr>
        <w:t>4.1投标文件的递交</w:t>
      </w:r>
      <w:bookmarkEnd w:id="95"/>
    </w:p>
    <w:p w14:paraId="123EF255">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4.1.1 投标人应在投标截止时间前递交投标文件。</w:t>
      </w:r>
    </w:p>
    <w:p w14:paraId="2213DB9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4.1.2投标人递交投标文件的地点：四川国锃招标代理有限公司开标室（绵阳市科创园区科技路5号二楼）。</w:t>
      </w:r>
    </w:p>
    <w:p w14:paraId="147C09E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4.1.3投标人所递交的投标文件不予退还。</w:t>
      </w:r>
    </w:p>
    <w:p w14:paraId="4BB86D7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4.1.4 逾期未提交至规定地点的投标文件，不予受理。</w:t>
      </w:r>
    </w:p>
    <w:p w14:paraId="46148F9A">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4.1.5本次招标不接受邮寄的投标文件。</w:t>
      </w:r>
    </w:p>
    <w:p w14:paraId="5D1D0E94">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4.2 投标文件的修改与撤回 </w:t>
      </w:r>
    </w:p>
    <w:p w14:paraId="3D422D0D">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549D127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4.2.2投标人撤回投标文件的，招标代理机构自收到投标人撤回通知后办理退还已收取的投标保证金。</w:t>
      </w:r>
    </w:p>
    <w:p w14:paraId="782B0BA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4.2.3在投标截止时间之后，投标人不得对其递交的投标文件做任何修改或撤回投标。</w:t>
      </w:r>
    </w:p>
    <w:p w14:paraId="0FBBE661">
      <w:pPr>
        <w:pStyle w:val="125"/>
        <w:outlineLvl w:val="2"/>
        <w:rPr>
          <w:rFonts w:hint="eastAsia" w:ascii="宋体" w:hAnsi="宋体" w:eastAsia="宋体" w:cs="宋体"/>
          <w:color w:val="auto"/>
          <w:sz w:val="21"/>
          <w:szCs w:val="21"/>
          <w:highlight w:val="none"/>
        </w:rPr>
      </w:pPr>
      <w:bookmarkStart w:id="100" w:name="_Toc24112411"/>
      <w:bookmarkStart w:id="101" w:name="_Toc282595510"/>
      <w:bookmarkStart w:id="102" w:name="_Toc249799335"/>
      <w:bookmarkStart w:id="103" w:name="_Toc26091"/>
      <w:r>
        <w:rPr>
          <w:rFonts w:hint="eastAsia" w:ascii="宋体" w:hAnsi="宋体" w:eastAsia="宋体" w:cs="宋体"/>
          <w:color w:val="auto"/>
          <w:sz w:val="21"/>
          <w:szCs w:val="21"/>
          <w:highlight w:val="none"/>
        </w:rPr>
        <w:t>5. 开标</w:t>
      </w:r>
      <w:bookmarkEnd w:id="100"/>
      <w:bookmarkEnd w:id="101"/>
      <w:bookmarkEnd w:id="102"/>
      <w:bookmarkEnd w:id="103"/>
    </w:p>
    <w:p w14:paraId="6CF15993">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5.1开标在招标文件规定的时间和地点公开进行，招标人、投标人须派代表参加并签到以证明其出席。开标由招标代理机构主持，招标人、投标人代表参加。评标专家不参加开标活动。</w:t>
      </w:r>
    </w:p>
    <w:p w14:paraId="092746CB">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5.2开标时，招标代理机构可以邀请有关监督管理部门对开标进行现场监督。</w:t>
      </w:r>
    </w:p>
    <w:p w14:paraId="74219F4F">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5643ADE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5.4开标时，“开标一览表”中的大写金额与小写金额不一致的，以大写金额为准。</w:t>
      </w:r>
    </w:p>
    <w:p w14:paraId="38C6A42D">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5.5所有投标唱标完毕，如投标人代表对宣读的“开标一览表”上的内容有异议的，应在获得开标会主持人同意后当场提出。如确实属于唱标人员宣读错了的，经现场监督人员核实后，当场予以更正。</w:t>
      </w:r>
    </w:p>
    <w:p w14:paraId="635D8699">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 开标程序</w:t>
      </w:r>
    </w:p>
    <w:p w14:paraId="7BBA68D9">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开标会主持人按照招标文件规定的开标时间宣布开标，按照规定要求主持开标会。开标将按以下程序进行：</w:t>
      </w:r>
    </w:p>
    <w:p w14:paraId="1B1663C1">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（1）宣布开标会开始。开标时间到，主持人宣布开标会开始并致辞，当众宣布参加开标会的现场监督人员、唱标、监标、会议记录等招标工作人员，根据“投标单位签到表”宣布参加投标的投标单位名单。</w:t>
      </w:r>
    </w:p>
    <w:p w14:paraId="13ECD515">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（2）宣布会场纪律和有关注意事项。</w:t>
      </w:r>
    </w:p>
    <w:p w14:paraId="3873A5ED">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（3）当众宣布检查投标文件的密封情况。</w:t>
      </w:r>
    </w:p>
    <w:p w14:paraId="570FEFB4">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6"/>
    <w:bookmarkEnd w:id="97"/>
    <w:bookmarkEnd w:id="98"/>
    <w:bookmarkEnd w:id="99"/>
    <w:p w14:paraId="4A306432">
      <w:pPr>
        <w:pStyle w:val="125"/>
        <w:outlineLvl w:val="2"/>
        <w:rPr>
          <w:rFonts w:hint="eastAsia" w:ascii="宋体" w:hAnsi="宋体" w:eastAsia="宋体" w:cs="宋体"/>
          <w:color w:val="auto"/>
          <w:sz w:val="21"/>
          <w:szCs w:val="21"/>
          <w:highlight w:val="none"/>
        </w:rPr>
      </w:pPr>
      <w:bookmarkStart w:id="104" w:name="_Toc249799336"/>
      <w:bookmarkStart w:id="105" w:name="_Toc282595511"/>
      <w:bookmarkStart w:id="106" w:name="_Toc24112412"/>
      <w:bookmarkStart w:id="107" w:name="_Toc11037"/>
      <w:r>
        <w:rPr>
          <w:rFonts w:hint="eastAsia" w:ascii="宋体" w:hAnsi="宋体" w:eastAsia="宋体" w:cs="宋体"/>
          <w:color w:val="auto"/>
          <w:sz w:val="21"/>
          <w:szCs w:val="21"/>
          <w:highlight w:val="none"/>
        </w:rPr>
        <w:t>6. 评标</w:t>
      </w:r>
      <w:bookmarkEnd w:id="104"/>
      <w:bookmarkEnd w:id="105"/>
      <w:bookmarkEnd w:id="106"/>
      <w:bookmarkEnd w:id="107"/>
    </w:p>
    <w:p w14:paraId="6D4F98CC">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评标委员会</w:t>
      </w:r>
    </w:p>
    <w:p w14:paraId="22001B8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评标由依法组建的评标委员会负责。评标委员会由招标人熟悉相关业务的代表，以及有关技术/经济等方面的专家组成。</w:t>
      </w:r>
    </w:p>
    <w:p w14:paraId="255C4B9C">
      <w:pPr>
        <w:pStyle w:val="174"/>
        <w:tabs>
          <w:tab w:val="left" w:pos="2620"/>
        </w:tabs>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评标原则</w:t>
      </w:r>
      <w:r>
        <w:rPr>
          <w:rFonts w:hint="eastAsia" w:ascii="宋体" w:hAnsi="宋体" w:eastAsia="宋体" w:cs="宋体"/>
          <w:color w:val="auto"/>
          <w:sz w:val="21"/>
          <w:szCs w:val="21"/>
          <w:highlight w:val="none"/>
        </w:rPr>
        <w:tab/>
      </w:r>
    </w:p>
    <w:p w14:paraId="38B334B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评标活动遵循公平、公正、科学和择优的原则。对所有投标人的投标评估都采用相同的评标程序和标准，严格按照招标文件的要求和条件进行。</w:t>
      </w:r>
    </w:p>
    <w:p w14:paraId="5C798C3E">
      <w:pPr>
        <w:pStyle w:val="174"/>
        <w:tabs>
          <w:tab w:val="left" w:pos="2620"/>
        </w:tabs>
        <w:outlineLvl w:val="9"/>
        <w:rPr>
          <w:rFonts w:hint="eastAsia" w:ascii="宋体" w:hAnsi="宋体" w:eastAsia="宋体" w:cs="宋体"/>
          <w:color w:val="auto"/>
          <w:sz w:val="21"/>
          <w:szCs w:val="21"/>
          <w:highlight w:val="none"/>
        </w:rPr>
      </w:pPr>
      <w:bookmarkStart w:id="108" w:name="_Toc179632584"/>
      <w:bookmarkStart w:id="109" w:name="_Toc152045566"/>
      <w:bookmarkStart w:id="110" w:name="_Toc144974534"/>
      <w:bookmarkStart w:id="111" w:name="_Toc152042342"/>
      <w:r>
        <w:rPr>
          <w:rFonts w:hint="eastAsia" w:ascii="宋体" w:hAnsi="宋体" w:eastAsia="宋体" w:cs="宋体"/>
          <w:color w:val="auto"/>
          <w:sz w:val="21"/>
          <w:szCs w:val="21"/>
          <w:highlight w:val="none"/>
        </w:rPr>
        <w:t>6.3评标办法、评审步骤、内容和标准</w:t>
      </w:r>
    </w:p>
    <w:p w14:paraId="67BC3833">
      <w:pPr>
        <w:tabs>
          <w:tab w:val="left" w:pos="7665"/>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评标办法、评审步骤、内容和标准详见第四章“评标办法”。</w:t>
      </w:r>
    </w:p>
    <w:bookmarkEnd w:id="108"/>
    <w:bookmarkEnd w:id="109"/>
    <w:bookmarkEnd w:id="110"/>
    <w:bookmarkEnd w:id="111"/>
    <w:p w14:paraId="7AC8B2DF">
      <w:pPr>
        <w:pStyle w:val="174"/>
        <w:tabs>
          <w:tab w:val="left" w:pos="2620"/>
        </w:tabs>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6.4投标文件的澄清和修正</w:t>
      </w:r>
    </w:p>
    <w:p w14:paraId="27B3EC43">
      <w:pPr>
        <w:tabs>
          <w:tab w:val="left" w:pos="7665"/>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6.4.1在评标过程中，</w:t>
      </w:r>
      <w:r>
        <w:rPr>
          <w:rFonts w:hint="eastAsia" w:ascii="宋体" w:hAnsi="宋体" w:eastAsia="宋体" w:cs="宋体"/>
          <w:color w:val="auto"/>
          <w:szCs w:val="24"/>
          <w:highlight w:val="none"/>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auto"/>
          <w:highlight w:val="none"/>
        </w:rPr>
        <w:t xml:space="preserve"> </w:t>
      </w:r>
    </w:p>
    <w:p w14:paraId="63EF2A9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6.4.2投标报价有算术错误的，评标委员会按以下原则对投标报价进行修正，修正的价格经投标人确认后具有约束力。投标人不接受修正价格的，其投标作废标处理。</w:t>
      </w:r>
    </w:p>
    <w:p w14:paraId="2EEB876A">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（1）投标文件中开标一览表内容与投标文件中相应内容不一致的，以经唱标的开标一览表为准；</w:t>
      </w:r>
    </w:p>
    <w:p w14:paraId="000BC7D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（2）大写金额和小写金额不一致的，以大写金额为准；</w:t>
      </w:r>
    </w:p>
    <w:p w14:paraId="7387B36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（3）单价金额小数点或者百分比有明显错位的，以开标一览表的总价为准，并修改单价；</w:t>
      </w:r>
    </w:p>
    <w:p w14:paraId="1C96007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（4）总价金额与按单价汇总金额不一致的，以单价金额计算结果为准；</w:t>
      </w:r>
    </w:p>
    <w:p w14:paraId="44030E0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（5）对不同语言文本投标文件的解释发生异议的，以中文文本为准。</w:t>
      </w:r>
    </w:p>
    <w:p w14:paraId="222DF898">
      <w:pPr>
        <w:tabs>
          <w:tab w:val="left" w:pos="7665"/>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6.4.3 澄清、说明和补正不得改变投标文件的实质性内容（算术性错误修正的除外）。投标人的澄清、说明和补正属于投标文件的组成部分。</w:t>
      </w:r>
    </w:p>
    <w:p w14:paraId="4D575C77">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6.4.4评标委员会对投标人提交的澄清、说明或补正有疑问的，可以要求投标人进一步澄清、说明或补正，直至满足评标委员会的要求。</w:t>
      </w:r>
    </w:p>
    <w:p w14:paraId="212E3F1F">
      <w:pPr>
        <w:pStyle w:val="125"/>
        <w:outlineLvl w:val="2"/>
        <w:rPr>
          <w:rFonts w:hint="eastAsia" w:ascii="宋体" w:hAnsi="宋体" w:eastAsia="宋体" w:cs="宋体"/>
          <w:color w:val="auto"/>
          <w:sz w:val="21"/>
          <w:szCs w:val="21"/>
          <w:highlight w:val="none"/>
        </w:rPr>
      </w:pPr>
      <w:bookmarkStart w:id="112" w:name="_Toc20393"/>
      <w:bookmarkStart w:id="113" w:name="_Toc249799337"/>
      <w:bookmarkStart w:id="114" w:name="_Toc24112413"/>
      <w:bookmarkStart w:id="115" w:name="_Toc282595512"/>
      <w:r>
        <w:rPr>
          <w:rFonts w:hint="eastAsia" w:ascii="宋体" w:hAnsi="宋体" w:eastAsia="宋体" w:cs="宋体"/>
          <w:color w:val="auto"/>
          <w:sz w:val="21"/>
          <w:szCs w:val="21"/>
          <w:highlight w:val="none"/>
        </w:rPr>
        <w:t>7. 合同授予</w:t>
      </w:r>
      <w:bookmarkEnd w:id="112"/>
      <w:bookmarkEnd w:id="113"/>
      <w:bookmarkEnd w:id="114"/>
      <w:bookmarkEnd w:id="115"/>
    </w:p>
    <w:p w14:paraId="65415D34">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7.1推荐中标候选人及定标方式</w:t>
      </w:r>
    </w:p>
    <w:p w14:paraId="0300AEA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0323E7CA">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 中标通知</w:t>
      </w:r>
    </w:p>
    <w:p w14:paraId="7840FAE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7.2.1中标通知书为签订采购合同的依据，是合同的有效组成部分。</w:t>
      </w:r>
    </w:p>
    <w:p w14:paraId="25A44A7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7.2.2中标通知书对招标人和中标人均具有法律效力。中标通知书发出后，招标人改变中标结果，或者中标人无正当理由放弃中标的，应当承担相应的法律责任。</w:t>
      </w:r>
    </w:p>
    <w:p w14:paraId="5A939155">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51908629">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7.3 履约担保 </w:t>
      </w:r>
    </w:p>
    <w:p w14:paraId="05389A6E">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7.3.1在签订合同前，中标人应按投标人须知前附表的规定向招标人提交履约担保。</w:t>
      </w:r>
    </w:p>
    <w:p w14:paraId="60C5392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7.3.2 中标人不能按上述要求提交履约担保的，视为放弃中标，其投标保证金不予退还，给招标人造成的损失超过投标保证金数额的，中标人还应当对超过部分予以赔偿。</w:t>
      </w:r>
    </w:p>
    <w:p w14:paraId="067433A8">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 签订合同</w:t>
      </w:r>
    </w:p>
    <w:p w14:paraId="108622F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中标人应当自中标通知书发出之日起30天内（按招标人要求），根据招标文件和中标人的投标文件订立书面合同。 </w:t>
      </w:r>
    </w:p>
    <w:p w14:paraId="73FA3E37">
      <w:pPr>
        <w:pStyle w:val="125"/>
        <w:outlineLvl w:val="2"/>
        <w:rPr>
          <w:rFonts w:hint="eastAsia" w:ascii="宋体" w:hAnsi="宋体" w:eastAsia="宋体" w:cs="宋体"/>
          <w:color w:val="auto"/>
          <w:sz w:val="21"/>
          <w:szCs w:val="21"/>
          <w:highlight w:val="none"/>
        </w:rPr>
      </w:pPr>
      <w:bookmarkStart w:id="116" w:name="_Toc249799338"/>
      <w:bookmarkStart w:id="117" w:name="_Toc3473"/>
      <w:bookmarkStart w:id="118" w:name="_Toc24112414"/>
      <w:bookmarkStart w:id="119" w:name="_Toc282595513"/>
      <w:r>
        <w:rPr>
          <w:rFonts w:hint="eastAsia" w:ascii="宋体" w:hAnsi="宋体" w:eastAsia="宋体" w:cs="宋体"/>
          <w:color w:val="auto"/>
          <w:sz w:val="21"/>
          <w:szCs w:val="21"/>
          <w:highlight w:val="none"/>
        </w:rPr>
        <w:t>8. 纪律和监督</w:t>
      </w:r>
      <w:bookmarkEnd w:id="116"/>
      <w:bookmarkEnd w:id="117"/>
      <w:bookmarkEnd w:id="118"/>
      <w:bookmarkEnd w:id="119"/>
    </w:p>
    <w:p w14:paraId="773B076B">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 对招标人的纪律要求</w:t>
      </w:r>
    </w:p>
    <w:p w14:paraId="023057F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招标人不得泄漏招标投标活动中应当保密的情况和资料，不得与投标人串通损害国家利益、社会公共利益或者他人合法权益。</w:t>
      </w:r>
    </w:p>
    <w:p w14:paraId="24F2789F">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 对投标人的纪律要求</w:t>
      </w:r>
    </w:p>
    <w:p w14:paraId="24E9C87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7F709E0">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 对评标委员会成员的纪律要求</w:t>
      </w:r>
    </w:p>
    <w:p w14:paraId="2CF5EAF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45ACA287">
      <w:pPr>
        <w:pStyle w:val="174"/>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 对与评标活动有关的工作人员的纪律要求</w:t>
      </w:r>
    </w:p>
    <w:p w14:paraId="6DE75F5E">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00B8A65B">
      <w:pPr>
        <w:autoSpaceDE w:val="0"/>
        <w:autoSpaceDN w:val="0"/>
        <w:adjustRightInd w:val="0"/>
        <w:spacing w:line="400" w:lineRule="exact"/>
        <w:jc w:val="center"/>
        <w:outlineLvl w:val="0"/>
        <w:rPr>
          <w:rFonts w:hint="eastAsia" w:ascii="宋体" w:hAnsi="宋体" w:eastAsia="宋体" w:cs="宋体"/>
          <w:color w:val="auto"/>
          <w:kern w:val="0"/>
          <w:highlight w:val="none"/>
        </w:rPr>
      </w:pPr>
      <w:r>
        <w:rPr>
          <w:rFonts w:hint="eastAsia" w:ascii="宋体" w:hAnsi="宋体" w:eastAsia="宋体" w:cs="宋体"/>
          <w:color w:val="auto"/>
          <w:kern w:val="0"/>
          <w:highlight w:val="none"/>
        </w:rPr>
        <w:br w:type="page"/>
      </w:r>
      <w:bookmarkStart w:id="120" w:name="_Toc24112415"/>
      <w:bookmarkStart w:id="121" w:name="_Toc256165073"/>
      <w:bookmarkStart w:id="122" w:name="_Toc31075"/>
      <w:bookmarkStart w:id="123" w:name="_Toc286752025"/>
      <w:r>
        <w:rPr>
          <w:rFonts w:hint="eastAsia" w:ascii="宋体" w:hAnsi="宋体" w:eastAsia="宋体" w:cs="宋体"/>
          <w:b/>
          <w:color w:val="auto"/>
          <w:kern w:val="0"/>
          <w:sz w:val="36"/>
          <w:szCs w:val="36"/>
          <w:highlight w:val="none"/>
        </w:rPr>
        <w:t>第三章  报价范围及商务报价要求</w:t>
      </w:r>
      <w:bookmarkEnd w:id="120"/>
      <w:bookmarkEnd w:id="121"/>
      <w:bookmarkEnd w:id="122"/>
      <w:bookmarkEnd w:id="123"/>
    </w:p>
    <w:p w14:paraId="1C308655">
      <w:pPr>
        <w:tabs>
          <w:tab w:val="left" w:pos="1813"/>
        </w:tabs>
        <w:autoSpaceDE w:val="0"/>
        <w:autoSpaceDN w:val="0"/>
        <w:adjustRightInd w:val="0"/>
        <w:spacing w:line="200" w:lineRule="exact"/>
        <w:jc w:val="center"/>
        <w:rPr>
          <w:rFonts w:hint="eastAsia" w:ascii="宋体" w:hAnsi="宋体" w:eastAsia="宋体" w:cs="宋体"/>
          <w:color w:val="auto"/>
          <w:kern w:val="0"/>
          <w:highlight w:val="none"/>
        </w:rPr>
      </w:pPr>
      <w:bookmarkStart w:id="124" w:name="_Toc236796988"/>
      <w:bookmarkStart w:id="125" w:name="_Toc236718295"/>
    </w:p>
    <w:p w14:paraId="5A2A98DA">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w:t>
      </w:r>
      <w:bookmarkEnd w:id="124"/>
      <w:bookmarkEnd w:id="125"/>
      <w:r>
        <w:rPr>
          <w:rFonts w:hint="eastAsia" w:ascii="宋体" w:hAnsi="宋体" w:eastAsia="宋体" w:cs="宋体"/>
          <w:color w:val="auto"/>
          <w:highlight w:val="none"/>
        </w:rPr>
        <w:t>．投标人报价范围及内容</w:t>
      </w:r>
    </w:p>
    <w:p w14:paraId="0BBF9CD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   见第五章“技术标准和要求”。</w:t>
      </w:r>
    </w:p>
    <w:p w14:paraId="6F99D552">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2．商务报价要求</w:t>
      </w:r>
    </w:p>
    <w:p w14:paraId="7C217BC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2.1投标人应对招标文件进行认真阅读， “分项报价表”报价及所列项目应清楚明晰。投标人若需增加表格，可自己补充编制。</w:t>
      </w:r>
    </w:p>
    <w:p w14:paraId="25410B0B">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2.2</w:t>
      </w:r>
      <w:r>
        <w:rPr>
          <w:rFonts w:hint="eastAsia" w:ascii="宋体" w:hAnsi="宋体" w:eastAsia="宋体" w:cs="宋体"/>
          <w:b/>
          <w:bCs/>
          <w:color w:val="auto"/>
          <w:highlight w:val="none"/>
        </w:rPr>
        <w:t>投标函所列总报价应与“开标一览表”、“分项报价表”中汇总金额相一致。</w:t>
      </w:r>
    </w:p>
    <w:p w14:paraId="6DD8352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总报价为含税包干总价（含税，增值税专用发票），主要包括设计费、系统费用、运输费、安装费、质保期内的维保费用、其它费（含技术服务费用、技术资料费、引进技术专利费、各种检测检验试验费、安装调试费、培训技术人员费等）等为完成本项目所需的一切费用。</w:t>
      </w:r>
    </w:p>
    <w:p w14:paraId="1D151EA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2.3本次招标只允许一次性报价，且不接受任何有选择的报价（</w:t>
      </w:r>
      <w:r>
        <w:rPr>
          <w:rFonts w:hint="eastAsia" w:ascii="宋体" w:hAnsi="宋体" w:eastAsia="宋体" w:cs="宋体"/>
          <w:color w:val="auto"/>
          <w:kern w:val="0"/>
          <w:highlight w:val="none"/>
        </w:rPr>
        <w:t>招标文件允许有备选投标方案的，应满足对备选方案的要求）。</w:t>
      </w:r>
      <w:r>
        <w:rPr>
          <w:rFonts w:hint="eastAsia" w:ascii="宋体" w:hAnsi="宋体" w:eastAsia="宋体" w:cs="宋体"/>
          <w:color w:val="auto"/>
          <w:highlight w:val="none"/>
        </w:rPr>
        <w:t>若投标人的报价均超过招标人的承受能力，则招标人有权终止本次招标工作。</w:t>
      </w:r>
    </w:p>
    <w:p w14:paraId="7AEC800E">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2.4投标币种为人民币。若发生外汇，投标人应给出外汇总额并按报价当期的汇率折合成人民币计价，发生的外汇由投标人自行解决。</w:t>
      </w:r>
    </w:p>
    <w:p w14:paraId="0C487787">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3．商务报价编制的具体规定</w:t>
      </w:r>
    </w:p>
    <w:p w14:paraId="54E766D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总价包干，投标人应填报《分项报价表》（参考格式见第七章）等表格，若需增加表格，由投标人自行编制。</w:t>
      </w:r>
    </w:p>
    <w:p w14:paraId="3BDB3EBF">
      <w:pPr>
        <w:autoSpaceDE w:val="0"/>
        <w:autoSpaceDN w:val="0"/>
        <w:adjustRightInd w:val="0"/>
        <w:spacing w:line="400" w:lineRule="exact"/>
        <w:jc w:val="center"/>
        <w:outlineLvl w:val="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br w:type="page"/>
      </w:r>
      <w:bookmarkEnd w:id="24"/>
      <w:bookmarkStart w:id="126" w:name="_Toc3259"/>
      <w:bookmarkStart w:id="127" w:name="_Toc24112416"/>
      <w:bookmarkStart w:id="128" w:name="_Toc248313652"/>
      <w:r>
        <w:rPr>
          <w:rFonts w:hint="eastAsia" w:ascii="宋体" w:hAnsi="宋体" w:eastAsia="宋体" w:cs="宋体"/>
          <w:b/>
          <w:color w:val="auto"/>
          <w:kern w:val="0"/>
          <w:sz w:val="36"/>
          <w:szCs w:val="36"/>
          <w:highlight w:val="none"/>
        </w:rPr>
        <w:t>第四章  评标办法</w:t>
      </w:r>
      <w:bookmarkEnd w:id="126"/>
      <w:bookmarkEnd w:id="127"/>
    </w:p>
    <w:p w14:paraId="05CD8E15">
      <w:pPr>
        <w:spacing w:line="400" w:lineRule="exact"/>
        <w:rPr>
          <w:rFonts w:hint="eastAsia" w:ascii="宋体" w:hAnsi="宋体" w:eastAsia="宋体" w:cs="宋体"/>
          <w:b/>
          <w:bCs/>
          <w:color w:val="auto"/>
          <w:highlight w:val="none"/>
        </w:rPr>
      </w:pPr>
      <w:bookmarkStart w:id="129" w:name="_Toc14327"/>
      <w:bookmarkStart w:id="130" w:name="_Toc24112417"/>
      <w:r>
        <w:rPr>
          <w:rFonts w:hint="eastAsia" w:ascii="宋体" w:hAnsi="宋体" w:eastAsia="宋体" w:cs="宋体"/>
          <w:b/>
          <w:bCs/>
          <w:color w:val="auto"/>
          <w:highlight w:val="none"/>
        </w:rPr>
        <w:t>1.评标方法</w:t>
      </w:r>
      <w:bookmarkEnd w:id="129"/>
      <w:bookmarkEnd w:id="130"/>
    </w:p>
    <w:p w14:paraId="24250D4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4409C514">
      <w:pPr>
        <w:spacing w:line="400" w:lineRule="exact"/>
        <w:rPr>
          <w:rFonts w:hint="eastAsia" w:ascii="宋体" w:hAnsi="宋体" w:eastAsia="宋体" w:cs="宋体"/>
          <w:b/>
          <w:bCs/>
          <w:color w:val="auto"/>
          <w:highlight w:val="none"/>
        </w:rPr>
      </w:pPr>
      <w:bookmarkStart w:id="131" w:name="_Toc2408"/>
      <w:bookmarkStart w:id="132" w:name="_Toc24112418"/>
      <w:r>
        <w:rPr>
          <w:rFonts w:hint="eastAsia" w:ascii="宋体" w:hAnsi="宋体" w:eastAsia="宋体" w:cs="宋体"/>
          <w:b/>
          <w:bCs/>
          <w:color w:val="auto"/>
          <w:highlight w:val="none"/>
        </w:rPr>
        <w:t>2.初步评审</w:t>
      </w:r>
      <w:bookmarkEnd w:id="131"/>
      <w:bookmarkEnd w:id="132"/>
    </w:p>
    <w:p w14:paraId="3304939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12E504AC">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2.2评标委员会对投标文件密封、签署、盖章等进行审查过程中，有下列情形的，评标委员会应当评定为不影响整个投标文件有效性和招标活动公平竞争，并通过投标文件的符合性审查：</w:t>
      </w:r>
    </w:p>
    <w:p w14:paraId="2D1ED7F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（1）投标文件（包括单独递交的开标一览表）密封时未加盖、少加盖公章或者密封章，但是密封完好、完整标明了投标人名称且得到投标人（法定代表人或者授权代理人）现场认可的；</w:t>
      </w:r>
    </w:p>
    <w:p w14:paraId="621D773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（2）投标文件（包括单独递交的开标一览表）正副本数量齐全、密封完好，只是未按照招标文件要求进行分装或者统装的；</w:t>
      </w:r>
    </w:p>
    <w:p w14:paraId="19082F6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（3）投标文件（包括单独递交的开标一览表）存在个别地方（总数不能超过2个且占应签字地方的比例不能超过20%）没有法定代表人签字，但有法定代表人的私人印章或者有效授权代理人签字的；</w:t>
      </w:r>
    </w:p>
    <w:p w14:paraId="1D2C1E8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（4）投标文件（包括单独递交的开标一览表）除招标文件明确要求加盖单位(法人)公章的以外，其他地方以相关专用章加盖的。</w:t>
      </w:r>
    </w:p>
    <w:p w14:paraId="26623E7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2.3 投标报价按照以下方法修正：</w:t>
      </w:r>
    </w:p>
    <w:p w14:paraId="49A90BC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（1）投标文件中开标一览表内容与投标文件中相应内容不一致的，以经唱标的开标一览表为准；</w:t>
      </w:r>
    </w:p>
    <w:p w14:paraId="3FF938B5">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（2）大写金额和小写金额不一致的，以大写金额为准；</w:t>
      </w:r>
    </w:p>
    <w:p w14:paraId="1FC2FD4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（3）单价金额小数点或者百分比有明显错位的，以开标一览表的总价为准，并修改单价；</w:t>
      </w:r>
    </w:p>
    <w:p w14:paraId="6062B5F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（4）总价金额与按单价汇总金额不一致的，以单价金额计算结果为准；</w:t>
      </w:r>
    </w:p>
    <w:p w14:paraId="757C7E1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（5）对不同语言文本投标文件的解释发生异议的，以中文文本为准。</w:t>
      </w:r>
    </w:p>
    <w:p w14:paraId="48E8670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2.4对于投标文件中不构成实质性偏差的小的不正规、不一致或不规则，评标委员会可以接受。</w:t>
      </w:r>
    </w:p>
    <w:p w14:paraId="199420C1">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2.5如果投标文件实质上没有响应招标文件的要求，其投标将被否决，投标人不得通过修正或撤消不合要求的偏差从而使其投标成为实质上响应的投标。</w:t>
      </w:r>
    </w:p>
    <w:p w14:paraId="7640B7BB">
      <w:pPr>
        <w:spacing w:line="400" w:lineRule="exact"/>
        <w:rPr>
          <w:rFonts w:hint="eastAsia" w:ascii="宋体" w:hAnsi="宋体" w:eastAsia="宋体" w:cs="宋体"/>
          <w:b/>
          <w:bCs/>
          <w:color w:val="auto"/>
          <w:highlight w:val="none"/>
        </w:rPr>
      </w:pPr>
      <w:bookmarkStart w:id="133" w:name="_Toc21208"/>
      <w:bookmarkStart w:id="134" w:name="_Toc24112419"/>
      <w:r>
        <w:rPr>
          <w:rFonts w:hint="eastAsia" w:ascii="宋体" w:hAnsi="宋体" w:eastAsia="宋体" w:cs="宋体"/>
          <w:b/>
          <w:bCs/>
          <w:color w:val="auto"/>
          <w:highlight w:val="none"/>
        </w:rPr>
        <w:t>3.详细评审</w:t>
      </w:r>
      <w:bookmarkEnd w:id="133"/>
      <w:bookmarkEnd w:id="134"/>
    </w:p>
    <w:p w14:paraId="24ABF0A3">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评标委员会将对经过初步审查，确定为有效投标人的投标文件从报价、技术等方面进行详细评审。</w:t>
      </w:r>
    </w:p>
    <w:p w14:paraId="17CED3FA">
      <w:pPr>
        <w:spacing w:line="400" w:lineRule="exact"/>
        <w:rPr>
          <w:rFonts w:hint="eastAsia" w:ascii="宋体" w:hAnsi="宋体" w:eastAsia="宋体" w:cs="宋体"/>
          <w:b/>
          <w:bCs/>
          <w:color w:val="auto"/>
          <w:highlight w:val="none"/>
        </w:rPr>
      </w:pPr>
      <w:bookmarkStart w:id="135" w:name="_Toc309114776"/>
      <w:bookmarkStart w:id="136" w:name="_Toc24112421"/>
      <w:bookmarkStart w:id="137" w:name="_Toc183492185"/>
      <w:bookmarkStart w:id="138" w:name="_Toc22446"/>
      <w:r>
        <w:rPr>
          <w:rFonts w:hint="eastAsia" w:ascii="宋体" w:hAnsi="宋体" w:eastAsia="宋体" w:cs="宋体"/>
          <w:b/>
          <w:bCs/>
          <w:color w:val="auto"/>
          <w:highlight w:val="none"/>
        </w:rPr>
        <w:t>4.评标结果</w:t>
      </w:r>
      <w:bookmarkEnd w:id="135"/>
      <w:bookmarkEnd w:id="136"/>
      <w:bookmarkEnd w:id="137"/>
      <w:bookmarkEnd w:id="138"/>
    </w:p>
    <w:p w14:paraId="0769813D">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4.1评标委员会按照详细评审综合得分由高到低的顺序推荐1-3名中标候选人。</w:t>
      </w:r>
    </w:p>
    <w:p w14:paraId="460CB4B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4.2评标委员会完成评标后，应当向招标人提交评标报告。</w:t>
      </w:r>
    </w:p>
    <w:p w14:paraId="177B7561">
      <w:pPr>
        <w:spacing w:line="400" w:lineRule="exact"/>
        <w:rPr>
          <w:rFonts w:hint="eastAsia" w:ascii="宋体" w:hAnsi="宋体" w:eastAsia="宋体" w:cs="宋体"/>
          <w:b/>
          <w:bCs/>
          <w:color w:val="auto"/>
          <w:highlight w:val="none"/>
        </w:rPr>
      </w:pPr>
      <w:bookmarkStart w:id="139" w:name="_Toc5741"/>
      <w:bookmarkStart w:id="140" w:name="_Toc24112422"/>
      <w:r>
        <w:rPr>
          <w:rFonts w:hint="eastAsia" w:ascii="宋体" w:hAnsi="宋体" w:eastAsia="宋体" w:cs="宋体"/>
          <w:b/>
          <w:bCs/>
          <w:color w:val="auto"/>
          <w:highlight w:val="none"/>
        </w:rPr>
        <w:t>5.评审因素和标准</w:t>
      </w:r>
      <w:bookmarkEnd w:id="139"/>
      <w:bookmarkEnd w:id="140"/>
    </w:p>
    <w:p w14:paraId="70AE6AC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依据本评标办法，评审因素和标准在下面的初步评审表、价格修正表、详细评审表中进行了细化。</w:t>
      </w:r>
    </w:p>
    <w:p w14:paraId="2BEE5B04">
      <w:pPr>
        <w:spacing w:line="400" w:lineRule="exact"/>
        <w:rPr>
          <w:rFonts w:hint="eastAsia" w:ascii="宋体" w:hAnsi="宋体" w:eastAsia="宋体" w:cs="宋体"/>
          <w:b/>
          <w:bCs/>
          <w:color w:val="auto"/>
          <w:highlight w:val="none"/>
        </w:rPr>
      </w:pPr>
      <w:bookmarkStart w:id="141" w:name="_Toc24112423"/>
      <w:bookmarkStart w:id="142" w:name="_Toc24664"/>
      <w:r>
        <w:rPr>
          <w:rFonts w:hint="eastAsia" w:ascii="宋体" w:hAnsi="宋体" w:eastAsia="宋体" w:cs="宋体"/>
          <w:b/>
          <w:bCs/>
          <w:color w:val="auto"/>
          <w:highlight w:val="none"/>
        </w:rPr>
        <w:t>6.评标表格</w:t>
      </w:r>
      <w:bookmarkEnd w:id="141"/>
      <w:bookmarkEnd w:id="142"/>
    </w:p>
    <w:p w14:paraId="4D2FB084">
      <w:pPr>
        <w:pStyle w:val="22"/>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（1）初步评审表</w:t>
      </w:r>
    </w:p>
    <w:p w14:paraId="7BE25567">
      <w:pPr>
        <w:pStyle w:val="22"/>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（2）价格修正表</w:t>
      </w:r>
    </w:p>
    <w:p w14:paraId="5CF994DC">
      <w:pPr>
        <w:pStyle w:val="22"/>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（3）详细评审表</w:t>
      </w:r>
    </w:p>
    <w:p w14:paraId="6B49E453">
      <w:pPr>
        <w:pStyle w:val="22"/>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初步评审表</w:t>
      </w:r>
    </w:p>
    <w:p w14:paraId="6B302854">
      <w:pPr>
        <w:snapToGrid w:val="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项目名称：                                           招标编号： </w:t>
      </w:r>
    </w:p>
    <w:tbl>
      <w:tblPr>
        <w:tblStyle w:val="47"/>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028B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50A3C338">
            <w:pPr>
              <w:autoSpaceDE w:val="0"/>
              <w:autoSpaceDN w:val="0"/>
              <w:adjustRightInd w:val="0"/>
              <w:snapToGrid w:val="0"/>
              <w:ind w:left="105" w:leftChars="50"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评审因素</w:t>
            </w:r>
          </w:p>
        </w:tc>
        <w:tc>
          <w:tcPr>
            <w:tcW w:w="6405" w:type="dxa"/>
            <w:vAlign w:val="center"/>
          </w:tcPr>
          <w:p w14:paraId="2F7E6722">
            <w:pPr>
              <w:adjustRightInd w:val="0"/>
              <w:snapToGrid w:val="0"/>
              <w:ind w:left="105" w:leftChars="50"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评审标准</w:t>
            </w:r>
          </w:p>
        </w:tc>
        <w:tc>
          <w:tcPr>
            <w:tcW w:w="1571" w:type="dxa"/>
            <w:vAlign w:val="center"/>
          </w:tcPr>
          <w:p w14:paraId="315A400C">
            <w:pPr>
              <w:adjustRightInd w:val="0"/>
              <w:snapToGrid w:val="0"/>
              <w:ind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投标人名称</w:t>
            </w:r>
          </w:p>
        </w:tc>
      </w:tr>
      <w:tr w14:paraId="277E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4A7AA321">
            <w:pPr>
              <w:autoSpaceDE w:val="0"/>
              <w:autoSpaceDN w:val="0"/>
              <w:adjustRightInd w:val="0"/>
              <w:snapToGrid w:val="0"/>
              <w:spacing w:line="380" w:lineRule="exact"/>
              <w:jc w:val="left"/>
              <w:rPr>
                <w:rFonts w:hint="eastAsia" w:ascii="宋体" w:hAnsi="宋体" w:eastAsia="宋体" w:cs="宋体"/>
                <w:color w:val="auto"/>
                <w:kern w:val="0"/>
                <w:highlight w:val="none"/>
              </w:rPr>
            </w:pPr>
          </w:p>
          <w:p w14:paraId="3BE40CF0">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资</w:t>
            </w:r>
          </w:p>
          <w:p w14:paraId="679348F8">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格</w:t>
            </w:r>
          </w:p>
          <w:p w14:paraId="08989B1E">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性</w:t>
            </w:r>
          </w:p>
        </w:tc>
        <w:tc>
          <w:tcPr>
            <w:tcW w:w="1785" w:type="dxa"/>
            <w:vAlign w:val="center"/>
          </w:tcPr>
          <w:p w14:paraId="09C0431C">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具有独立承担民事责任的能力，且在中国大陆（不含港澳台）注册并合法运营</w:t>
            </w:r>
          </w:p>
        </w:tc>
        <w:tc>
          <w:tcPr>
            <w:tcW w:w="6405" w:type="dxa"/>
          </w:tcPr>
          <w:p w14:paraId="190D2CE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1.投标人为企业（包括合伙企业）应提供工商营业执照或提供由市场监管部门核发的法人或者其他组织统一社会信用代码的营业执照（复印件加盖投标人公章）；</w:t>
            </w:r>
          </w:p>
          <w:p w14:paraId="388E3331">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2.投标人属于银行、保险、石油石化、电力、电信等有行业特殊情况的，提供企业分支机构营业执照或统一社会信用代码的营业执照（复印件加盖投标人公章）；</w:t>
            </w:r>
          </w:p>
          <w:p w14:paraId="27DDE31B">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3.投标人为其他组织的，提供事业单位法人证书或执业许可证等证明文件（复印件加盖投标人公章）。</w:t>
            </w:r>
          </w:p>
          <w:p w14:paraId="14EC625C">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b/>
                <w:bCs/>
                <w:color w:val="auto"/>
                <w:kern w:val="0"/>
                <w:highlight w:val="none"/>
              </w:rPr>
              <w:t>注：若为联合体提供的，联合体各方均需提供。</w:t>
            </w:r>
          </w:p>
        </w:tc>
        <w:tc>
          <w:tcPr>
            <w:tcW w:w="1571" w:type="dxa"/>
            <w:vAlign w:val="center"/>
          </w:tcPr>
          <w:p w14:paraId="13BE8D3B">
            <w:pPr>
              <w:adjustRightInd w:val="0"/>
              <w:snapToGrid w:val="0"/>
              <w:ind w:right="105" w:rightChars="50"/>
              <w:rPr>
                <w:rFonts w:hint="eastAsia" w:ascii="宋体" w:hAnsi="宋体" w:eastAsia="宋体" w:cs="宋体"/>
                <w:color w:val="auto"/>
                <w:highlight w:val="none"/>
              </w:rPr>
            </w:pPr>
          </w:p>
        </w:tc>
      </w:tr>
      <w:tr w14:paraId="4944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02C6A3D">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711DF029">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具有良好的商业信誉和健全的财务会计制度</w:t>
            </w:r>
          </w:p>
        </w:tc>
        <w:tc>
          <w:tcPr>
            <w:tcW w:w="6405" w:type="dxa"/>
          </w:tcPr>
          <w:p w14:paraId="10D152D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1.投标人是否具有良好的商业信誉，由投标人出具书面承诺（原件）；2.投标人是否有健全的财务会计制度：</w:t>
            </w:r>
          </w:p>
          <w:p w14:paraId="5903A843">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a.提供近三年（2022、2023、2024年度）中任意一年，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634B72A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b.如因单位性质（军内单位、事业单位等）无法提供审计报告的，可以提供经单位盖章的财务报表复印件加盖投标人公章（近三年（2022、2023、2024年度）中任意一年）或具有健全的财务会计制度的承诺函。</w:t>
            </w:r>
          </w:p>
          <w:p w14:paraId="5E6827D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注：科研院所、高等院校等事业单位、军内单位因特殊原因无法提供以上材料的，应在其投标文件中就其单位性质以及无法出具的原因作出书面说明。</w:t>
            </w:r>
          </w:p>
          <w:p w14:paraId="255A814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c.若投标人成立年限不足1年的，提供具有健全的财务会计制度的承诺函。格式自拟。</w:t>
            </w:r>
          </w:p>
          <w:p w14:paraId="6D205FA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b/>
                <w:bCs/>
                <w:color w:val="auto"/>
                <w:kern w:val="0"/>
                <w:highlight w:val="none"/>
              </w:rPr>
              <w:t>注：若为联合体提供的，联合体各方均需提供。</w:t>
            </w:r>
          </w:p>
        </w:tc>
        <w:tc>
          <w:tcPr>
            <w:tcW w:w="1571" w:type="dxa"/>
            <w:vAlign w:val="center"/>
          </w:tcPr>
          <w:p w14:paraId="4E99EEA8">
            <w:pPr>
              <w:adjustRightInd w:val="0"/>
              <w:snapToGrid w:val="0"/>
              <w:ind w:right="105" w:rightChars="50"/>
              <w:rPr>
                <w:rFonts w:hint="eastAsia" w:ascii="宋体" w:hAnsi="宋体" w:eastAsia="宋体" w:cs="宋体"/>
                <w:color w:val="auto"/>
                <w:highlight w:val="none"/>
              </w:rPr>
            </w:pPr>
          </w:p>
        </w:tc>
      </w:tr>
      <w:tr w14:paraId="483B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1D41CBA4">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400CF231">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具有履行合同所必须的设备和专业技术能力</w:t>
            </w:r>
          </w:p>
        </w:tc>
        <w:tc>
          <w:tcPr>
            <w:tcW w:w="6405" w:type="dxa"/>
          </w:tcPr>
          <w:p w14:paraId="58818838">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由投标人自行对本单位是否具备履行合同所必须的设备和专业技术能力进行评价。若具有履行合同所必须的设备和专业技术能力的，参与投标时，须出具《履行合同所必须的设备和专业技术能力承诺书》（原件）。</w:t>
            </w:r>
          </w:p>
          <w:p w14:paraId="7036CC18">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b/>
                <w:bCs/>
                <w:color w:val="auto"/>
                <w:kern w:val="0"/>
                <w:highlight w:val="none"/>
              </w:rPr>
              <w:t>注：若为联合体提供的，联合体各方均需提供。</w:t>
            </w:r>
          </w:p>
        </w:tc>
        <w:tc>
          <w:tcPr>
            <w:tcW w:w="1571" w:type="dxa"/>
            <w:vAlign w:val="center"/>
          </w:tcPr>
          <w:p w14:paraId="62224AA6">
            <w:pPr>
              <w:adjustRightInd w:val="0"/>
              <w:snapToGrid w:val="0"/>
              <w:ind w:right="105" w:rightChars="50"/>
              <w:rPr>
                <w:rFonts w:hint="eastAsia" w:ascii="宋体" w:hAnsi="宋体" w:eastAsia="宋体" w:cs="宋体"/>
                <w:color w:val="auto"/>
                <w:highlight w:val="none"/>
              </w:rPr>
            </w:pPr>
          </w:p>
        </w:tc>
      </w:tr>
      <w:tr w14:paraId="6177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34BC5E4B">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526860CB">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具有依法缴纳税收和社会保障资金的良好记录</w:t>
            </w:r>
          </w:p>
        </w:tc>
        <w:tc>
          <w:tcPr>
            <w:tcW w:w="6405" w:type="dxa"/>
          </w:tcPr>
          <w:p w14:paraId="40C16970">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1.投标人提供近一年内不少于3个月的缴纳税收的银行电子回单（票据）或税务部门出具的纳税证明或者纳税申报资料（复印件加盖投标人公章）；</w:t>
            </w:r>
          </w:p>
          <w:p w14:paraId="501EA22A">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2.投标人提供近一年内不少于3个月的缴纳社保的银行电子回单（票据）或社保部门出具的社保缴纳证明材料（复印件加盖投标人公章）。</w:t>
            </w:r>
          </w:p>
          <w:p w14:paraId="32E18B8F">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b/>
                <w:bCs/>
                <w:color w:val="auto"/>
                <w:kern w:val="0"/>
                <w:highlight w:val="none"/>
              </w:rPr>
              <w:t>注：若为联合体提供的，联合体各方均需提供。</w:t>
            </w:r>
          </w:p>
        </w:tc>
        <w:tc>
          <w:tcPr>
            <w:tcW w:w="1571" w:type="dxa"/>
            <w:vAlign w:val="center"/>
          </w:tcPr>
          <w:p w14:paraId="30D96C22">
            <w:pPr>
              <w:adjustRightInd w:val="0"/>
              <w:snapToGrid w:val="0"/>
              <w:ind w:right="105" w:rightChars="50"/>
              <w:rPr>
                <w:rFonts w:hint="eastAsia" w:ascii="宋体" w:hAnsi="宋体" w:eastAsia="宋体" w:cs="宋体"/>
                <w:color w:val="auto"/>
                <w:highlight w:val="none"/>
              </w:rPr>
            </w:pPr>
          </w:p>
        </w:tc>
      </w:tr>
      <w:tr w14:paraId="6F9C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DE518F">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53D5FB9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参加本次投标活动前三年内，在经营活动中没有重大违法违规记录</w:t>
            </w:r>
          </w:p>
        </w:tc>
        <w:tc>
          <w:tcPr>
            <w:tcW w:w="6405" w:type="dxa"/>
          </w:tcPr>
          <w:p w14:paraId="3485E46F">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投标人在参加本次投标活动时做出书面声明（原件格式见附件）。</w:t>
            </w:r>
          </w:p>
          <w:p w14:paraId="4D95DE0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说明：投标人在参加投标活动前3年内因违法经营被禁止在一定期限内参加招标活动，期限届满的，可以参加投标活动，但投标人应提供相关证明材料复印件并加盖投标人公章。</w:t>
            </w:r>
          </w:p>
          <w:p w14:paraId="7D494CE0">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b/>
                <w:bCs/>
                <w:color w:val="auto"/>
                <w:kern w:val="0"/>
                <w:highlight w:val="none"/>
              </w:rPr>
              <w:t>注：若为联合体提供的，联合体各方均需提供。</w:t>
            </w:r>
          </w:p>
        </w:tc>
        <w:tc>
          <w:tcPr>
            <w:tcW w:w="1571" w:type="dxa"/>
            <w:vAlign w:val="center"/>
          </w:tcPr>
          <w:p w14:paraId="2E819CF9">
            <w:pPr>
              <w:adjustRightInd w:val="0"/>
              <w:snapToGrid w:val="0"/>
              <w:ind w:right="105" w:rightChars="50"/>
              <w:rPr>
                <w:rFonts w:hint="eastAsia" w:ascii="宋体" w:hAnsi="宋体" w:eastAsia="宋体" w:cs="宋体"/>
                <w:color w:val="auto"/>
                <w:highlight w:val="none"/>
              </w:rPr>
            </w:pPr>
          </w:p>
        </w:tc>
      </w:tr>
      <w:tr w14:paraId="2E0E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3B407313">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0DAA89DD">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法律、行政法规规定的其他条件</w:t>
            </w:r>
          </w:p>
        </w:tc>
        <w:tc>
          <w:tcPr>
            <w:tcW w:w="6405" w:type="dxa"/>
            <w:vAlign w:val="center"/>
          </w:tcPr>
          <w:p w14:paraId="59F81B9F">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招标人对法律、行政法规规定的其他条件无特殊要求的，可不提供其他证明材料。</w:t>
            </w:r>
          </w:p>
        </w:tc>
        <w:tc>
          <w:tcPr>
            <w:tcW w:w="1571" w:type="dxa"/>
            <w:vAlign w:val="center"/>
          </w:tcPr>
          <w:p w14:paraId="177CF897">
            <w:pPr>
              <w:adjustRightInd w:val="0"/>
              <w:snapToGrid w:val="0"/>
              <w:ind w:right="105" w:rightChars="50"/>
              <w:rPr>
                <w:rFonts w:hint="eastAsia" w:ascii="宋体" w:hAnsi="宋体" w:eastAsia="宋体" w:cs="宋体"/>
                <w:color w:val="auto"/>
                <w:highlight w:val="none"/>
              </w:rPr>
            </w:pPr>
          </w:p>
        </w:tc>
      </w:tr>
      <w:tr w14:paraId="2548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DF76B6E">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1EE0D3A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根据项目特殊要求设置的特定条件</w:t>
            </w:r>
          </w:p>
        </w:tc>
        <w:tc>
          <w:tcPr>
            <w:tcW w:w="6405" w:type="dxa"/>
            <w:vAlign w:val="center"/>
          </w:tcPr>
          <w:p w14:paraId="43F0E620">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kern w:val="0"/>
                <w:highlight w:val="none"/>
              </w:rPr>
              <w:t>本项目接受代理商投标。如代理商投标的，投标人需提供原厂商针对本项目的唯一授权书</w:t>
            </w:r>
            <w:r>
              <w:rPr>
                <w:rFonts w:hint="eastAsia" w:ascii="宋体" w:hAnsi="宋体" w:eastAsia="宋体" w:cs="宋体"/>
                <w:color w:val="auto"/>
                <w:highlight w:val="none"/>
              </w:rPr>
              <w:t>。</w:t>
            </w:r>
          </w:p>
          <w:p w14:paraId="47337454">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2.法定代表人为中华人民共和国国籍，未拥有境外永久居留权（含港澳台）：提供法定代表人为中华人民共和国国籍，且未拥有境外永久居留权（含港澳台）的书面声明。</w:t>
            </w:r>
          </w:p>
          <w:p w14:paraId="3CFCB4C9">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rPr>
              <w:t>3.投标人和法定代表人近三年无行贿犯罪记录：提供“中国裁判文书网”相关查询结果截图，其中包括投标人和法定代表人查询截图。</w:t>
            </w:r>
          </w:p>
          <w:p w14:paraId="2B35C694">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rPr>
              <w:t>4.投标人未被“信用中国”或“中国执行信息公开网”网站列入失信被执行人名单：提供“信用中国”或“中国执行信息公开网”查询记录截图。</w:t>
            </w:r>
          </w:p>
          <w:p w14:paraId="66CC1742">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b/>
                <w:bCs/>
                <w:color w:val="auto"/>
                <w:kern w:val="0"/>
                <w:highlight w:val="none"/>
              </w:rPr>
              <w:t>注：若为联合体提供的，联合体各方均需提供。</w:t>
            </w:r>
          </w:p>
        </w:tc>
        <w:tc>
          <w:tcPr>
            <w:tcW w:w="1571" w:type="dxa"/>
            <w:vAlign w:val="center"/>
          </w:tcPr>
          <w:p w14:paraId="3D7F1CD9">
            <w:pPr>
              <w:adjustRightInd w:val="0"/>
              <w:snapToGrid w:val="0"/>
              <w:ind w:right="105" w:rightChars="50"/>
              <w:rPr>
                <w:rFonts w:hint="eastAsia" w:ascii="宋体" w:hAnsi="宋体" w:eastAsia="宋体" w:cs="宋体"/>
                <w:color w:val="auto"/>
                <w:highlight w:val="none"/>
              </w:rPr>
            </w:pPr>
          </w:p>
        </w:tc>
      </w:tr>
      <w:tr w14:paraId="6D40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5C76FF7E">
            <w:pPr>
              <w:adjustRightInd w:val="0"/>
              <w:snapToGrid w:val="0"/>
              <w:ind w:left="105" w:leftChars="50" w:right="105" w:rightChars="50"/>
              <w:rPr>
                <w:rFonts w:hint="eastAsia" w:ascii="宋体" w:hAnsi="宋体" w:eastAsia="宋体" w:cs="宋体"/>
                <w:color w:val="auto"/>
                <w:highlight w:val="none"/>
              </w:rPr>
            </w:pPr>
          </w:p>
        </w:tc>
        <w:tc>
          <w:tcPr>
            <w:tcW w:w="1785" w:type="dxa"/>
            <w:vAlign w:val="center"/>
          </w:tcPr>
          <w:p w14:paraId="0D1D0396">
            <w:pPr>
              <w:snapToGrid w:val="0"/>
              <w:ind w:left="105" w:leftChars="50"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联合体</w:t>
            </w:r>
          </w:p>
        </w:tc>
        <w:tc>
          <w:tcPr>
            <w:tcW w:w="6405" w:type="dxa"/>
            <w:vAlign w:val="center"/>
          </w:tcPr>
          <w:p w14:paraId="1EA5E66A">
            <w:pPr>
              <w:autoSpaceDE w:val="0"/>
              <w:autoSpaceDN w:val="0"/>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本项目接受联合体投标。</w:t>
            </w:r>
          </w:p>
          <w:p w14:paraId="70C22B2F">
            <w:pPr>
              <w:autoSpaceDE w:val="0"/>
              <w:autoSpaceDN w:val="0"/>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若为联合体投标的应符合以下要求：联合体参与投标的成员各方均应符合招标公告资格要求3.1-3.7项要求。联合体成员（含联合体牵头人）家数须不超过2家。联合体各方须签订联合体协议书，明确联合体牵头人和各方的工作和义务。联合体中各方不得再以自己名义单独或参加其他联合体在同一项目的招标活动。</w:t>
            </w:r>
          </w:p>
        </w:tc>
        <w:tc>
          <w:tcPr>
            <w:tcW w:w="1571" w:type="dxa"/>
            <w:vAlign w:val="center"/>
          </w:tcPr>
          <w:p w14:paraId="10A8A421">
            <w:pPr>
              <w:adjustRightInd w:val="0"/>
              <w:snapToGrid w:val="0"/>
              <w:ind w:right="105" w:rightChars="50"/>
              <w:rPr>
                <w:rFonts w:hint="eastAsia" w:ascii="宋体" w:hAnsi="宋体" w:eastAsia="宋体" w:cs="宋体"/>
                <w:color w:val="auto"/>
                <w:highlight w:val="none"/>
              </w:rPr>
            </w:pPr>
          </w:p>
        </w:tc>
      </w:tr>
      <w:tr w14:paraId="740D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restart"/>
            <w:vAlign w:val="center"/>
          </w:tcPr>
          <w:p w14:paraId="661C6688">
            <w:pPr>
              <w:adjustRightInd w:val="0"/>
              <w:snapToGrid w:val="0"/>
              <w:ind w:left="105" w:leftChars="50" w:right="105" w:rightChars="5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符</w:t>
            </w:r>
          </w:p>
          <w:p w14:paraId="5CB6108C">
            <w:pPr>
              <w:adjustRightInd w:val="0"/>
              <w:snapToGrid w:val="0"/>
              <w:ind w:left="105" w:leftChars="50" w:right="105" w:rightChars="5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合</w:t>
            </w:r>
          </w:p>
          <w:p w14:paraId="0A5AF278">
            <w:pPr>
              <w:adjustRightInd w:val="0"/>
              <w:snapToGrid w:val="0"/>
              <w:ind w:left="105" w:leftChars="50" w:right="105" w:rightChars="5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性</w:t>
            </w:r>
          </w:p>
        </w:tc>
        <w:tc>
          <w:tcPr>
            <w:tcW w:w="1785" w:type="dxa"/>
            <w:vAlign w:val="center"/>
          </w:tcPr>
          <w:p w14:paraId="038C64B2">
            <w:pPr>
              <w:snapToGrid w:val="0"/>
              <w:rPr>
                <w:rFonts w:hint="eastAsia" w:ascii="宋体" w:hAnsi="宋体" w:eastAsia="宋体" w:cs="宋体"/>
                <w:color w:val="auto"/>
                <w:highlight w:val="none"/>
              </w:rPr>
            </w:pPr>
            <w:r>
              <w:rPr>
                <w:rFonts w:hint="eastAsia" w:ascii="宋体" w:hAnsi="宋体" w:eastAsia="宋体" w:cs="宋体"/>
                <w:color w:val="auto"/>
                <w:highlight w:val="none"/>
              </w:rPr>
              <w:t>投标人名称</w:t>
            </w:r>
          </w:p>
        </w:tc>
        <w:tc>
          <w:tcPr>
            <w:tcW w:w="6405" w:type="dxa"/>
            <w:vAlign w:val="center"/>
          </w:tcPr>
          <w:p w14:paraId="6D8CD613">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与招标文件购买记录表、营业执照中的名称一致。</w:t>
            </w:r>
          </w:p>
        </w:tc>
        <w:tc>
          <w:tcPr>
            <w:tcW w:w="1571" w:type="dxa"/>
            <w:vAlign w:val="center"/>
          </w:tcPr>
          <w:p w14:paraId="1301DC2C">
            <w:pPr>
              <w:adjustRightInd w:val="0"/>
              <w:snapToGrid w:val="0"/>
              <w:ind w:right="105" w:rightChars="50"/>
              <w:jc w:val="center"/>
              <w:rPr>
                <w:rFonts w:hint="eastAsia" w:ascii="宋体" w:hAnsi="宋体" w:eastAsia="宋体" w:cs="宋体"/>
                <w:color w:val="auto"/>
                <w:highlight w:val="none"/>
              </w:rPr>
            </w:pPr>
          </w:p>
        </w:tc>
      </w:tr>
      <w:tr w14:paraId="26DC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0A76101B">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64069077">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投标函格式</w:t>
            </w:r>
          </w:p>
        </w:tc>
        <w:tc>
          <w:tcPr>
            <w:tcW w:w="6405" w:type="dxa"/>
            <w:vAlign w:val="center"/>
          </w:tcPr>
          <w:p w14:paraId="7FAD9DEF">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投标函符合 “投标文件格式”的要求。</w:t>
            </w:r>
          </w:p>
        </w:tc>
        <w:tc>
          <w:tcPr>
            <w:tcW w:w="1571" w:type="dxa"/>
            <w:vAlign w:val="center"/>
          </w:tcPr>
          <w:p w14:paraId="6117B0BA">
            <w:pPr>
              <w:adjustRightInd w:val="0"/>
              <w:snapToGrid w:val="0"/>
              <w:ind w:right="105" w:rightChars="50"/>
              <w:jc w:val="center"/>
              <w:rPr>
                <w:rFonts w:hint="eastAsia" w:ascii="宋体" w:hAnsi="宋体" w:eastAsia="宋体" w:cs="宋体"/>
                <w:color w:val="auto"/>
                <w:highlight w:val="none"/>
              </w:rPr>
            </w:pPr>
          </w:p>
        </w:tc>
      </w:tr>
      <w:tr w14:paraId="5A88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42C5808A">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17460405">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投标文件数量</w:t>
            </w:r>
          </w:p>
        </w:tc>
        <w:tc>
          <w:tcPr>
            <w:tcW w:w="6405" w:type="dxa"/>
            <w:vAlign w:val="center"/>
          </w:tcPr>
          <w:p w14:paraId="1E0747F7">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 “第二章 投标人须知”的要求</w:t>
            </w:r>
          </w:p>
        </w:tc>
        <w:tc>
          <w:tcPr>
            <w:tcW w:w="1571" w:type="dxa"/>
            <w:vAlign w:val="center"/>
          </w:tcPr>
          <w:p w14:paraId="5CD90A25">
            <w:pPr>
              <w:adjustRightInd w:val="0"/>
              <w:snapToGrid w:val="0"/>
              <w:ind w:right="105" w:rightChars="50"/>
              <w:jc w:val="center"/>
              <w:rPr>
                <w:rFonts w:hint="eastAsia" w:ascii="宋体" w:hAnsi="宋体" w:eastAsia="宋体" w:cs="宋体"/>
                <w:color w:val="auto"/>
                <w:highlight w:val="none"/>
              </w:rPr>
            </w:pPr>
          </w:p>
        </w:tc>
      </w:tr>
      <w:tr w14:paraId="3854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32B7F79">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366541FD">
            <w:pPr>
              <w:adjustRightInd w:val="0"/>
              <w:snapToGrid w:val="0"/>
              <w:ind w:right="105" w:rightChars="50"/>
              <w:rPr>
                <w:rFonts w:hint="eastAsia" w:ascii="宋体" w:hAnsi="宋体" w:eastAsia="宋体" w:cs="宋体"/>
                <w:color w:val="auto"/>
                <w:kern w:val="0"/>
                <w:highlight w:val="none"/>
                <w:lang w:val="en-AU"/>
              </w:rPr>
            </w:pPr>
            <w:r>
              <w:rPr>
                <w:rFonts w:hint="eastAsia" w:ascii="宋体" w:hAnsi="宋体" w:eastAsia="宋体" w:cs="宋体"/>
                <w:color w:val="auto"/>
                <w:kern w:val="0"/>
                <w:highlight w:val="none"/>
                <w:lang w:val="en-AU"/>
              </w:rPr>
              <w:t>投标保证金</w:t>
            </w:r>
          </w:p>
        </w:tc>
        <w:tc>
          <w:tcPr>
            <w:tcW w:w="6405" w:type="dxa"/>
            <w:vAlign w:val="center"/>
          </w:tcPr>
          <w:p w14:paraId="33723040">
            <w:pPr>
              <w:pStyle w:val="22"/>
              <w:adjustRightInd w:val="0"/>
              <w:snapToGrid w:val="0"/>
              <w:ind w:right="105" w:rightChars="50"/>
              <w:rPr>
                <w:rFonts w:hint="eastAsia" w:ascii="宋体" w:hAnsi="宋体" w:eastAsia="宋体" w:cs="宋体"/>
                <w:color w:val="auto"/>
                <w:kern w:val="0"/>
                <w:szCs w:val="21"/>
                <w:highlight w:val="none"/>
                <w:lang w:val="en-AU"/>
              </w:rPr>
            </w:pPr>
            <w:bookmarkStart w:id="143" w:name="_Toc17848"/>
            <w:bookmarkStart w:id="144" w:name="_Toc7174"/>
            <w:r>
              <w:rPr>
                <w:rFonts w:hint="eastAsia" w:ascii="宋体" w:hAnsi="宋体" w:eastAsia="宋体" w:cs="宋体"/>
                <w:color w:val="auto"/>
                <w:kern w:val="0"/>
                <w:szCs w:val="21"/>
                <w:highlight w:val="none"/>
                <w:lang w:val="en-AU"/>
              </w:rPr>
              <w:t>投标保证金满足招标文件要求。</w:t>
            </w:r>
            <w:bookmarkEnd w:id="143"/>
            <w:bookmarkEnd w:id="144"/>
          </w:p>
        </w:tc>
        <w:tc>
          <w:tcPr>
            <w:tcW w:w="1571" w:type="dxa"/>
            <w:vAlign w:val="center"/>
          </w:tcPr>
          <w:p w14:paraId="332E1864">
            <w:pPr>
              <w:pStyle w:val="22"/>
              <w:adjustRightInd w:val="0"/>
              <w:snapToGrid w:val="0"/>
              <w:ind w:left="105" w:leftChars="50" w:right="105" w:rightChars="50"/>
              <w:rPr>
                <w:rFonts w:hint="eastAsia" w:ascii="宋体" w:hAnsi="宋体" w:eastAsia="宋体" w:cs="宋体"/>
                <w:color w:val="auto"/>
                <w:szCs w:val="21"/>
                <w:highlight w:val="none"/>
              </w:rPr>
            </w:pPr>
          </w:p>
        </w:tc>
      </w:tr>
      <w:tr w14:paraId="0371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3229E254">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05E37DB5">
            <w:pPr>
              <w:adjustRightInd w:val="0"/>
              <w:snapToGrid w:val="0"/>
              <w:ind w:right="105" w:rightChars="50"/>
              <w:rPr>
                <w:rFonts w:hint="eastAsia" w:ascii="宋体" w:hAnsi="宋体" w:eastAsia="宋体" w:cs="宋体"/>
                <w:color w:val="auto"/>
                <w:kern w:val="0"/>
                <w:sz w:val="22"/>
                <w:szCs w:val="18"/>
                <w:highlight w:val="none"/>
              </w:rPr>
            </w:pPr>
            <w:r>
              <w:rPr>
                <w:rFonts w:hint="eastAsia" w:ascii="宋体" w:hAnsi="宋体" w:eastAsia="宋体" w:cs="宋体"/>
                <w:color w:val="auto"/>
                <w:kern w:val="0"/>
                <w:highlight w:val="none"/>
              </w:rPr>
              <w:t>技术要求</w:t>
            </w:r>
          </w:p>
        </w:tc>
        <w:tc>
          <w:tcPr>
            <w:tcW w:w="6405" w:type="dxa"/>
            <w:vAlign w:val="center"/>
          </w:tcPr>
          <w:p w14:paraId="26309963">
            <w:pPr>
              <w:pStyle w:val="22"/>
              <w:adjustRightInd w:val="0"/>
              <w:snapToGrid w:val="0"/>
              <w:ind w:right="105" w:rightChars="50"/>
              <w:rPr>
                <w:rFonts w:hint="eastAsia" w:ascii="宋体" w:hAnsi="宋体" w:eastAsia="宋体" w:cs="宋体"/>
                <w:color w:val="auto"/>
                <w:kern w:val="0"/>
                <w:sz w:val="22"/>
                <w:szCs w:val="18"/>
                <w:highlight w:val="none"/>
              </w:rPr>
            </w:pPr>
            <w:r>
              <w:rPr>
                <w:rFonts w:hint="eastAsia" w:ascii="宋体" w:hAnsi="宋体" w:eastAsia="宋体" w:cs="宋体"/>
                <w:color w:val="auto"/>
                <w:kern w:val="0"/>
                <w:szCs w:val="21"/>
                <w:highlight w:val="none"/>
                <w:lang w:val="en-AU"/>
              </w:rPr>
              <w:t>针对招标技术要求，不存在</w:t>
            </w:r>
            <w:r>
              <w:rPr>
                <w:rFonts w:hint="eastAsia" w:ascii="宋体" w:hAnsi="宋体" w:eastAsia="宋体" w:cs="宋体"/>
                <w:color w:val="auto"/>
                <w:kern w:val="0"/>
                <w:szCs w:val="21"/>
                <w:highlight w:val="none"/>
              </w:rPr>
              <w:t>★号条款负</w:t>
            </w:r>
            <w:r>
              <w:rPr>
                <w:rFonts w:hint="eastAsia" w:ascii="宋体" w:hAnsi="宋体" w:eastAsia="宋体" w:cs="宋体"/>
                <w:color w:val="auto"/>
                <w:kern w:val="0"/>
                <w:szCs w:val="21"/>
                <w:highlight w:val="none"/>
                <w:lang w:val="en-AU"/>
              </w:rPr>
              <w:t>偏离。</w:t>
            </w:r>
          </w:p>
        </w:tc>
        <w:tc>
          <w:tcPr>
            <w:tcW w:w="1571" w:type="dxa"/>
            <w:vAlign w:val="center"/>
          </w:tcPr>
          <w:p w14:paraId="75FC20E1">
            <w:pPr>
              <w:pStyle w:val="22"/>
              <w:adjustRightInd w:val="0"/>
              <w:snapToGrid w:val="0"/>
              <w:ind w:left="105" w:leftChars="50" w:right="105" w:rightChars="50"/>
              <w:rPr>
                <w:rFonts w:hint="eastAsia" w:ascii="宋体" w:hAnsi="宋体" w:eastAsia="宋体" w:cs="宋体"/>
                <w:color w:val="auto"/>
                <w:szCs w:val="21"/>
                <w:highlight w:val="none"/>
              </w:rPr>
            </w:pPr>
          </w:p>
        </w:tc>
      </w:tr>
      <w:tr w14:paraId="7905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EA51C0F">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0C096780">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highlight w:val="none"/>
              </w:rPr>
              <w:t>投标内容</w:t>
            </w:r>
          </w:p>
        </w:tc>
        <w:tc>
          <w:tcPr>
            <w:tcW w:w="6405" w:type="dxa"/>
            <w:vAlign w:val="center"/>
          </w:tcPr>
          <w:p w14:paraId="0374DE75">
            <w:pPr>
              <w:pStyle w:val="22"/>
              <w:adjustRightInd w:val="0"/>
              <w:snapToGrid w:val="0"/>
              <w:ind w:right="105" w:right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符合“第一章  招标公告”以及技术要求对应规定。</w:t>
            </w:r>
          </w:p>
        </w:tc>
        <w:tc>
          <w:tcPr>
            <w:tcW w:w="1571" w:type="dxa"/>
            <w:vAlign w:val="center"/>
          </w:tcPr>
          <w:p w14:paraId="6783B79C">
            <w:pPr>
              <w:pStyle w:val="22"/>
              <w:adjustRightInd w:val="0"/>
              <w:snapToGrid w:val="0"/>
              <w:ind w:left="105" w:leftChars="50" w:right="105" w:rightChars="50"/>
              <w:rPr>
                <w:rFonts w:hint="eastAsia" w:ascii="宋体" w:hAnsi="宋体" w:eastAsia="宋体" w:cs="宋体"/>
                <w:color w:val="auto"/>
                <w:szCs w:val="21"/>
                <w:highlight w:val="none"/>
              </w:rPr>
            </w:pPr>
          </w:p>
        </w:tc>
      </w:tr>
      <w:tr w14:paraId="0924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0B7350F7">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2306E2E8">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交货地点</w:t>
            </w:r>
          </w:p>
        </w:tc>
        <w:tc>
          <w:tcPr>
            <w:tcW w:w="6405" w:type="dxa"/>
            <w:vAlign w:val="center"/>
          </w:tcPr>
          <w:p w14:paraId="54632D64">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符合“第一章  招标公告”以及技术要求对应规定。</w:t>
            </w:r>
          </w:p>
        </w:tc>
        <w:tc>
          <w:tcPr>
            <w:tcW w:w="1571" w:type="dxa"/>
          </w:tcPr>
          <w:p w14:paraId="09619EF6">
            <w:pPr>
              <w:adjustRightInd w:val="0"/>
              <w:snapToGrid w:val="0"/>
              <w:ind w:right="105" w:rightChars="50"/>
              <w:rPr>
                <w:rFonts w:hint="eastAsia" w:ascii="宋体" w:hAnsi="宋体" w:eastAsia="宋体" w:cs="宋体"/>
                <w:color w:val="auto"/>
                <w:highlight w:val="none"/>
              </w:rPr>
            </w:pPr>
          </w:p>
        </w:tc>
      </w:tr>
      <w:tr w14:paraId="77AE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92B34A5">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6B17AE94">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投标报价</w:t>
            </w:r>
          </w:p>
        </w:tc>
        <w:tc>
          <w:tcPr>
            <w:tcW w:w="6405" w:type="dxa"/>
            <w:vAlign w:val="center"/>
          </w:tcPr>
          <w:p w14:paraId="41612528">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符合“第三章  报价范围及商务报价要求”规定。</w:t>
            </w:r>
          </w:p>
        </w:tc>
        <w:tc>
          <w:tcPr>
            <w:tcW w:w="1571" w:type="dxa"/>
          </w:tcPr>
          <w:p w14:paraId="35517CC7">
            <w:pPr>
              <w:adjustRightInd w:val="0"/>
              <w:snapToGrid w:val="0"/>
              <w:ind w:right="105" w:rightChars="50"/>
              <w:rPr>
                <w:rFonts w:hint="eastAsia" w:ascii="宋体" w:hAnsi="宋体" w:eastAsia="宋体" w:cs="宋体"/>
                <w:color w:val="auto"/>
                <w:highlight w:val="none"/>
              </w:rPr>
            </w:pPr>
          </w:p>
        </w:tc>
      </w:tr>
      <w:tr w14:paraId="3344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2728DD12">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561CFC6C">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其他</w:t>
            </w:r>
          </w:p>
        </w:tc>
        <w:tc>
          <w:tcPr>
            <w:tcW w:w="6405" w:type="dxa"/>
            <w:vAlign w:val="center"/>
          </w:tcPr>
          <w:p w14:paraId="1B078C63">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符合招标文件要求。</w:t>
            </w:r>
          </w:p>
        </w:tc>
        <w:tc>
          <w:tcPr>
            <w:tcW w:w="1571" w:type="dxa"/>
          </w:tcPr>
          <w:p w14:paraId="45EDE93C">
            <w:pPr>
              <w:adjustRightInd w:val="0"/>
              <w:snapToGrid w:val="0"/>
              <w:ind w:right="105" w:rightChars="50"/>
              <w:rPr>
                <w:rFonts w:hint="eastAsia" w:ascii="宋体" w:hAnsi="宋体" w:eastAsia="宋体" w:cs="宋体"/>
                <w:color w:val="auto"/>
                <w:highlight w:val="none"/>
              </w:rPr>
            </w:pPr>
          </w:p>
        </w:tc>
      </w:tr>
      <w:tr w14:paraId="4746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2445" w:type="dxa"/>
            <w:gridSpan w:val="2"/>
            <w:vAlign w:val="center"/>
          </w:tcPr>
          <w:p w14:paraId="5AD6FA9C">
            <w:pPr>
              <w:autoSpaceDE w:val="0"/>
              <w:autoSpaceDN w:val="0"/>
              <w:adjustRightInd w:val="0"/>
              <w:snapToGrid w:val="0"/>
              <w:ind w:left="105" w:leftChars="50"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否决性</w:t>
            </w:r>
          </w:p>
        </w:tc>
        <w:tc>
          <w:tcPr>
            <w:tcW w:w="6405" w:type="dxa"/>
            <w:vAlign w:val="center"/>
          </w:tcPr>
          <w:p w14:paraId="6A9A4C61">
            <w:pPr>
              <w:rPr>
                <w:rFonts w:hint="eastAsia" w:ascii="宋体" w:hAnsi="宋体" w:eastAsia="宋体" w:cs="宋体"/>
                <w:color w:val="auto"/>
                <w:highlight w:val="none"/>
              </w:rPr>
            </w:pPr>
            <w:r>
              <w:rPr>
                <w:rFonts w:hint="eastAsia" w:ascii="宋体" w:hAnsi="宋体" w:eastAsia="宋体" w:cs="宋体"/>
                <w:color w:val="auto"/>
                <w:highlight w:val="none"/>
              </w:rPr>
              <w:t>不存在招标文件规定的所有否决投标的任何情况之一。</w:t>
            </w:r>
          </w:p>
        </w:tc>
        <w:tc>
          <w:tcPr>
            <w:tcW w:w="1571" w:type="dxa"/>
            <w:vAlign w:val="center"/>
          </w:tcPr>
          <w:p w14:paraId="6C41AF9E">
            <w:pPr>
              <w:rPr>
                <w:rFonts w:hint="eastAsia" w:ascii="宋体" w:hAnsi="宋体" w:eastAsia="宋体" w:cs="宋体"/>
                <w:color w:val="auto"/>
                <w:highlight w:val="none"/>
              </w:rPr>
            </w:pPr>
          </w:p>
        </w:tc>
      </w:tr>
    </w:tbl>
    <w:p w14:paraId="53441F96">
      <w:pPr>
        <w:jc w:val="center"/>
        <w:rPr>
          <w:rFonts w:hint="eastAsia" w:ascii="宋体" w:hAnsi="宋体" w:eastAsia="宋体" w:cs="宋体"/>
          <w:b/>
          <w:color w:val="auto"/>
          <w:highlight w:val="none"/>
        </w:rPr>
      </w:pPr>
      <w:bookmarkStart w:id="145" w:name="_Toc24112424"/>
      <w:r>
        <w:rPr>
          <w:rFonts w:hint="eastAsia" w:ascii="宋体" w:hAnsi="宋体" w:eastAsia="宋体" w:cs="宋体"/>
          <w:b/>
          <w:color w:val="auto"/>
          <w:highlight w:val="none"/>
        </w:rPr>
        <w:br w:type="page"/>
      </w:r>
      <w:r>
        <w:rPr>
          <w:rFonts w:hint="eastAsia" w:ascii="宋体" w:hAnsi="宋体" w:eastAsia="宋体" w:cs="宋体"/>
          <w:b/>
          <w:color w:val="auto"/>
          <w:highlight w:val="none"/>
        </w:rPr>
        <w:t>价格修正表（如有）</w:t>
      </w:r>
      <w:bookmarkEnd w:id="145"/>
    </w:p>
    <w:p w14:paraId="5E31C605">
      <w:pPr>
        <w:rPr>
          <w:rFonts w:hint="eastAsia" w:ascii="宋体" w:hAnsi="宋体" w:eastAsia="宋体" w:cs="宋体"/>
          <w:b/>
          <w:color w:val="auto"/>
          <w:highlight w:val="none"/>
        </w:rPr>
      </w:pPr>
    </w:p>
    <w:p w14:paraId="0CBDEF16">
      <w:pPr>
        <w:rPr>
          <w:rFonts w:hint="eastAsia" w:ascii="宋体" w:hAnsi="宋体" w:eastAsia="宋体" w:cs="宋体"/>
          <w:color w:val="auto"/>
          <w:highlight w:val="none"/>
        </w:rPr>
      </w:pPr>
    </w:p>
    <w:p w14:paraId="114E5F23">
      <w:pPr>
        <w:snapToGrid w:val="0"/>
        <w:spacing w:after="156" w:afterLines="5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项目名称：                                   </w:t>
      </w:r>
    </w:p>
    <w:p w14:paraId="78744648">
      <w:pPr>
        <w:snapToGrid w:val="0"/>
        <w:spacing w:after="156" w:afterLines="50"/>
        <w:jc w:val="left"/>
        <w:rPr>
          <w:rFonts w:hint="eastAsia" w:ascii="宋体" w:hAnsi="宋体" w:eastAsia="宋体" w:cs="宋体"/>
          <w:color w:val="auto"/>
          <w:highlight w:val="none"/>
        </w:rPr>
      </w:pPr>
      <w:r>
        <w:rPr>
          <w:rFonts w:hint="eastAsia" w:ascii="宋体" w:hAnsi="宋体" w:eastAsia="宋体" w:cs="宋体"/>
          <w:color w:val="auto"/>
          <w:highlight w:val="none"/>
        </w:rPr>
        <w:t>招标编号：</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13D0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78D264E5">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评审因素</w:t>
            </w:r>
          </w:p>
        </w:tc>
        <w:tc>
          <w:tcPr>
            <w:tcW w:w="4282" w:type="dxa"/>
            <w:vAlign w:val="center"/>
          </w:tcPr>
          <w:p w14:paraId="118A9EB6">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评审标准</w:t>
            </w:r>
          </w:p>
        </w:tc>
        <w:tc>
          <w:tcPr>
            <w:tcW w:w="2044" w:type="dxa"/>
            <w:vAlign w:val="center"/>
          </w:tcPr>
          <w:p w14:paraId="0A4D1B34">
            <w:pPr>
              <w:jc w:val="center"/>
              <w:rPr>
                <w:rFonts w:hint="eastAsia" w:ascii="宋体" w:hAnsi="宋体" w:eastAsia="宋体" w:cs="宋体"/>
                <w:color w:val="auto"/>
                <w:highlight w:val="none"/>
              </w:rPr>
            </w:pPr>
            <w:r>
              <w:rPr>
                <w:rFonts w:hint="eastAsia" w:ascii="宋体" w:hAnsi="宋体" w:eastAsia="宋体" w:cs="宋体"/>
                <w:color w:val="auto"/>
                <w:highlight w:val="none"/>
              </w:rPr>
              <w:t>投标人</w:t>
            </w:r>
          </w:p>
        </w:tc>
      </w:tr>
      <w:tr w14:paraId="61E5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21CF2A2D">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投标价格</w:t>
            </w:r>
          </w:p>
        </w:tc>
        <w:tc>
          <w:tcPr>
            <w:tcW w:w="4282" w:type="dxa"/>
            <w:vAlign w:val="center"/>
          </w:tcPr>
          <w:p w14:paraId="6E17674D">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开标记录中报价</w:t>
            </w:r>
          </w:p>
        </w:tc>
        <w:tc>
          <w:tcPr>
            <w:tcW w:w="2044" w:type="dxa"/>
            <w:vAlign w:val="center"/>
          </w:tcPr>
          <w:p w14:paraId="64D6B1B0">
            <w:pPr>
              <w:snapToGrid w:val="0"/>
              <w:jc w:val="center"/>
              <w:rPr>
                <w:rFonts w:hint="eastAsia" w:ascii="宋体" w:hAnsi="宋体" w:eastAsia="宋体" w:cs="宋体"/>
                <w:color w:val="auto"/>
                <w:highlight w:val="none"/>
              </w:rPr>
            </w:pPr>
          </w:p>
        </w:tc>
      </w:tr>
      <w:tr w14:paraId="6835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619D7902">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价格修正</w:t>
            </w:r>
          </w:p>
        </w:tc>
        <w:tc>
          <w:tcPr>
            <w:tcW w:w="4282" w:type="dxa"/>
            <w:vAlign w:val="center"/>
          </w:tcPr>
          <w:p w14:paraId="4E5BBE03">
            <w:pPr>
              <w:pStyle w:val="22"/>
              <w:adjustRightInd w:val="0"/>
              <w:snapToGrid w:val="0"/>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（1）投标文件中开标一览表内容与投标文件中相应内容不一致的，以经唱标的开标一览表为准；</w:t>
            </w:r>
          </w:p>
          <w:p w14:paraId="4F25EB9A">
            <w:pPr>
              <w:pStyle w:val="22"/>
              <w:adjustRightInd w:val="0"/>
              <w:snapToGrid w:val="0"/>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441ECA11">
            <w:pPr>
              <w:pStyle w:val="22"/>
              <w:adjustRightInd w:val="0"/>
              <w:snapToGrid w:val="0"/>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（3）单价金额小数点或者百分比有明显错位的，以开标一览表的总价为准，并修改单价；</w:t>
            </w:r>
          </w:p>
          <w:p w14:paraId="6908B655">
            <w:pPr>
              <w:pStyle w:val="22"/>
              <w:adjustRightInd w:val="0"/>
              <w:snapToGrid w:val="0"/>
              <w:spacing w:line="360" w:lineRule="auto"/>
              <w:ind w:left="567" w:hanging="567"/>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26BAE46B">
            <w:pPr>
              <w:pStyle w:val="22"/>
              <w:spacing w:line="360" w:lineRule="auto"/>
              <w:ind w:left="567" w:hanging="567"/>
              <w:rPr>
                <w:rFonts w:hint="eastAsia" w:ascii="宋体" w:hAnsi="宋体" w:eastAsia="宋体" w:cs="宋体"/>
                <w:bCs/>
                <w:color w:val="auto"/>
                <w:kern w:val="0"/>
                <w:highlight w:val="none"/>
              </w:rPr>
            </w:pPr>
            <w:r>
              <w:rPr>
                <w:rFonts w:hint="eastAsia" w:ascii="宋体" w:hAnsi="宋体" w:eastAsia="宋体" w:cs="宋体"/>
                <w:color w:val="auto"/>
                <w:szCs w:val="21"/>
                <w:highlight w:val="none"/>
              </w:rPr>
              <w:t>（5）对不同语言文本投标文件的解释发生异议的，以中文文本为准。</w:t>
            </w:r>
          </w:p>
        </w:tc>
        <w:tc>
          <w:tcPr>
            <w:tcW w:w="2044" w:type="dxa"/>
            <w:vAlign w:val="center"/>
          </w:tcPr>
          <w:p w14:paraId="2B42EF09">
            <w:pPr>
              <w:widowControl/>
              <w:snapToGrid w:val="0"/>
              <w:jc w:val="center"/>
              <w:rPr>
                <w:rFonts w:hint="eastAsia" w:ascii="宋体" w:hAnsi="宋体" w:eastAsia="宋体" w:cs="宋体"/>
                <w:color w:val="auto"/>
                <w:highlight w:val="none"/>
              </w:rPr>
            </w:pPr>
          </w:p>
        </w:tc>
      </w:tr>
      <w:tr w14:paraId="6BAB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37E14CA8">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评标价</w:t>
            </w:r>
          </w:p>
        </w:tc>
        <w:tc>
          <w:tcPr>
            <w:tcW w:w="4282" w:type="dxa"/>
            <w:vAlign w:val="center"/>
          </w:tcPr>
          <w:p w14:paraId="42A4D720">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修正后投标价格</w:t>
            </w:r>
          </w:p>
        </w:tc>
        <w:tc>
          <w:tcPr>
            <w:tcW w:w="2044" w:type="dxa"/>
            <w:vAlign w:val="center"/>
          </w:tcPr>
          <w:p w14:paraId="3B2A2D7C">
            <w:pPr>
              <w:widowControl/>
              <w:snapToGrid w:val="0"/>
              <w:jc w:val="center"/>
              <w:rPr>
                <w:rFonts w:hint="eastAsia" w:ascii="宋体" w:hAnsi="宋体" w:eastAsia="宋体" w:cs="宋体"/>
                <w:color w:val="auto"/>
                <w:highlight w:val="none"/>
              </w:rPr>
            </w:pPr>
          </w:p>
        </w:tc>
      </w:tr>
    </w:tbl>
    <w:p w14:paraId="16E6D267">
      <w:pPr>
        <w:snapToGrid w:val="0"/>
        <w:spacing w:line="360" w:lineRule="auto"/>
        <w:rPr>
          <w:rFonts w:hint="eastAsia" w:ascii="宋体" w:hAnsi="宋体" w:eastAsia="宋体" w:cs="宋体"/>
          <w:color w:val="auto"/>
          <w:highlight w:val="none"/>
          <w:lang w:val="zh-CN"/>
        </w:rPr>
      </w:pPr>
    </w:p>
    <w:p w14:paraId="3DD0ED97">
      <w:pPr>
        <w:snapToGrid w:val="0"/>
        <w:spacing w:line="360" w:lineRule="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br w:type="page"/>
      </w:r>
    </w:p>
    <w:p w14:paraId="1DDB7169">
      <w:pPr>
        <w:jc w:val="center"/>
        <w:rPr>
          <w:rFonts w:hint="eastAsia" w:ascii="宋体" w:hAnsi="宋体" w:eastAsia="宋体" w:cs="宋体"/>
          <w:b/>
          <w:color w:val="auto"/>
          <w:highlight w:val="none"/>
        </w:rPr>
      </w:pPr>
      <w:bookmarkStart w:id="146" w:name="_Toc24112425"/>
      <w:r>
        <w:rPr>
          <w:rFonts w:hint="eastAsia" w:ascii="宋体" w:hAnsi="宋体" w:eastAsia="宋体" w:cs="宋体"/>
          <w:b/>
          <w:color w:val="auto"/>
          <w:highlight w:val="none"/>
        </w:rPr>
        <w:t>详细评审表</w:t>
      </w:r>
      <w:bookmarkEnd w:id="146"/>
    </w:p>
    <w:p w14:paraId="77DE0D1A">
      <w:pPr>
        <w:jc w:val="center"/>
        <w:rPr>
          <w:rFonts w:hint="eastAsia" w:ascii="宋体" w:hAnsi="宋体" w:eastAsia="宋体" w:cs="宋体"/>
          <w:b/>
          <w:color w:val="auto"/>
          <w:highlight w:val="none"/>
        </w:rPr>
      </w:pPr>
    </w:p>
    <w:p w14:paraId="18314425">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08AFA5FC">
      <w:pPr>
        <w:snapToGrid w:val="0"/>
        <w:spacing w:line="380" w:lineRule="exact"/>
        <w:jc w:val="left"/>
        <w:rPr>
          <w:rFonts w:hint="eastAsia" w:ascii="宋体" w:hAnsi="宋体" w:eastAsia="宋体" w:cs="宋体"/>
          <w:color w:val="auto"/>
          <w:highlight w:val="none"/>
        </w:rPr>
      </w:pPr>
    </w:p>
    <w:p w14:paraId="491DA878">
      <w:pPr>
        <w:pStyle w:val="82"/>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1.评标原则</w:t>
      </w:r>
    </w:p>
    <w:p w14:paraId="7F8B9AC5">
      <w:pPr>
        <w:pStyle w:val="82"/>
        <w:widowControl/>
        <w:adjustRightInd w:val="0"/>
        <w:snapToGrid w:val="0"/>
        <w:spacing w:line="380" w:lineRule="exact"/>
        <w:ind w:left="900" w:hanging="42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a)得分高者优先推荐中标/成交；</w:t>
      </w:r>
    </w:p>
    <w:p w14:paraId="4C6F32C4">
      <w:pPr>
        <w:pStyle w:val="82"/>
        <w:widowControl/>
        <w:adjustRightInd w:val="0"/>
        <w:snapToGrid w:val="0"/>
        <w:spacing w:line="380" w:lineRule="exact"/>
        <w:ind w:left="900" w:hanging="42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b)在最终得分相同的情况下，投标报价低者优先推荐中标/成交；</w:t>
      </w:r>
    </w:p>
    <w:p w14:paraId="69B756B0">
      <w:pPr>
        <w:pStyle w:val="82"/>
        <w:widowControl/>
        <w:adjustRightInd w:val="0"/>
        <w:snapToGrid w:val="0"/>
        <w:spacing w:line="380" w:lineRule="exact"/>
        <w:ind w:left="900" w:hanging="42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c)</w:t>
      </w:r>
      <w:r>
        <w:rPr>
          <w:rFonts w:hint="eastAsia" w:ascii="宋体" w:hAnsi="宋体" w:eastAsia="宋体" w:cs="宋体"/>
          <w:color w:val="auto"/>
          <w:szCs w:val="21"/>
          <w:highlight w:val="none"/>
        </w:rPr>
        <w:t>投标报价也相同的情况下，技术评估得分高者优先推荐中标/成交。</w:t>
      </w:r>
    </w:p>
    <w:p w14:paraId="3B5AAA3A">
      <w:pPr>
        <w:pStyle w:val="82"/>
        <w:widowControl/>
        <w:tabs>
          <w:tab w:val="left" w:pos="284"/>
          <w:tab w:val="left" w:pos="567"/>
        </w:tabs>
        <w:adjustRightInd w:val="0"/>
        <w:snapToGrid w:val="0"/>
        <w:spacing w:line="380" w:lineRule="exact"/>
        <w:ind w:left="900" w:firstLine="0" w:firstLineChars="0"/>
        <w:jc w:val="left"/>
        <w:rPr>
          <w:rFonts w:hint="eastAsia" w:ascii="宋体" w:hAnsi="宋体" w:eastAsia="宋体" w:cs="宋体"/>
          <w:b/>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sz w:val="24"/>
          <w:highlight w:val="none"/>
        </w:rPr>
        <w:t xml:space="preserve">2.评分标准 </w:t>
      </w:r>
    </w:p>
    <w:bookmarkEnd w:id="128"/>
    <w:tbl>
      <w:tblPr>
        <w:tblStyle w:val="47"/>
        <w:tblW w:w="9291" w:type="dxa"/>
        <w:tblInd w:w="-3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1487"/>
        <w:gridCol w:w="6904"/>
      </w:tblGrid>
      <w:tr w14:paraId="08DDD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900" w:type="dxa"/>
            <w:tcBorders>
              <w:left w:val="single" w:color="auto" w:sz="4" w:space="0"/>
            </w:tcBorders>
            <w:vAlign w:val="center"/>
          </w:tcPr>
          <w:p w14:paraId="6932F38D">
            <w:pPr>
              <w:pStyle w:val="226"/>
              <w:spacing w:before="40" w:line="560" w:lineRule="exact"/>
              <w:ind w:right="57"/>
              <w:jc w:val="center"/>
              <w:rPr>
                <w:rFonts w:hint="eastAsia" w:ascii="宋体" w:hAnsi="宋体" w:eastAsia="宋体" w:cs="宋体"/>
                <w:b/>
                <w:bCs/>
                <w:color w:val="auto"/>
                <w:kern w:val="2"/>
                <w:sz w:val="21"/>
                <w:szCs w:val="21"/>
                <w:highlight w:val="none"/>
                <w:lang w:eastAsia="zh-CN" w:bidi="ar"/>
              </w:rPr>
            </w:pPr>
            <w:r>
              <w:rPr>
                <w:rFonts w:hint="eastAsia" w:ascii="宋体" w:hAnsi="宋体" w:eastAsia="宋体" w:cs="宋体"/>
                <w:b/>
                <w:bCs/>
                <w:color w:val="auto"/>
                <w:kern w:val="2"/>
                <w:sz w:val="21"/>
                <w:szCs w:val="21"/>
                <w:highlight w:val="none"/>
                <w:lang w:eastAsia="zh-CN" w:bidi="ar"/>
              </w:rPr>
              <w:t>项目及权重</w:t>
            </w:r>
          </w:p>
        </w:tc>
        <w:tc>
          <w:tcPr>
            <w:tcW w:w="1487" w:type="dxa"/>
            <w:tcBorders>
              <w:right w:val="single" w:color="auto" w:sz="4" w:space="0"/>
            </w:tcBorders>
            <w:vAlign w:val="center"/>
          </w:tcPr>
          <w:p w14:paraId="73CA2831">
            <w:pPr>
              <w:pStyle w:val="226"/>
              <w:spacing w:before="40" w:line="560" w:lineRule="exact"/>
              <w:ind w:right="57"/>
              <w:jc w:val="center"/>
              <w:rPr>
                <w:rFonts w:hint="eastAsia" w:ascii="宋体" w:hAnsi="宋体" w:eastAsia="宋体" w:cs="宋体"/>
                <w:b/>
                <w:bCs/>
                <w:color w:val="auto"/>
                <w:kern w:val="2"/>
                <w:sz w:val="21"/>
                <w:szCs w:val="21"/>
                <w:highlight w:val="none"/>
                <w:lang w:eastAsia="zh-CN" w:bidi="ar"/>
              </w:rPr>
            </w:pPr>
            <w:r>
              <w:rPr>
                <w:rFonts w:hint="eastAsia" w:ascii="宋体" w:hAnsi="宋体" w:eastAsia="宋体" w:cs="宋体"/>
                <w:b/>
                <w:bCs/>
                <w:color w:val="auto"/>
                <w:kern w:val="2"/>
                <w:sz w:val="21"/>
                <w:szCs w:val="21"/>
                <w:highlight w:val="none"/>
                <w:lang w:eastAsia="zh-CN" w:bidi="ar"/>
              </w:rPr>
              <w:t xml:space="preserve">评分因素 </w:t>
            </w:r>
          </w:p>
        </w:tc>
        <w:tc>
          <w:tcPr>
            <w:tcW w:w="6904" w:type="dxa"/>
            <w:vAlign w:val="center"/>
          </w:tcPr>
          <w:p w14:paraId="44EE39A7">
            <w:pPr>
              <w:pStyle w:val="226"/>
              <w:spacing w:before="40" w:line="560" w:lineRule="exact"/>
              <w:ind w:right="57"/>
              <w:jc w:val="center"/>
              <w:rPr>
                <w:rFonts w:hint="eastAsia" w:ascii="宋体" w:hAnsi="宋体" w:eastAsia="宋体" w:cs="宋体"/>
                <w:b/>
                <w:bCs/>
                <w:color w:val="auto"/>
                <w:kern w:val="2"/>
                <w:sz w:val="21"/>
                <w:szCs w:val="21"/>
                <w:highlight w:val="none"/>
                <w:lang w:eastAsia="zh-CN" w:bidi="ar"/>
              </w:rPr>
            </w:pPr>
            <w:r>
              <w:rPr>
                <w:rFonts w:hint="eastAsia" w:ascii="宋体" w:hAnsi="宋体" w:eastAsia="宋体" w:cs="宋体"/>
                <w:b/>
                <w:bCs/>
                <w:color w:val="auto"/>
                <w:kern w:val="2"/>
                <w:sz w:val="21"/>
                <w:szCs w:val="21"/>
                <w:highlight w:val="none"/>
                <w:lang w:eastAsia="zh-CN" w:bidi="ar"/>
              </w:rPr>
              <w:t>评分标准</w:t>
            </w:r>
          </w:p>
        </w:tc>
      </w:tr>
      <w:tr w14:paraId="65862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tcBorders>
              <w:left w:val="single" w:color="auto" w:sz="4" w:space="0"/>
            </w:tcBorders>
            <w:vAlign w:val="center"/>
          </w:tcPr>
          <w:p w14:paraId="1B461404">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sz w:val="21"/>
                <w:szCs w:val="21"/>
                <w:highlight w:val="none"/>
                <w:lang w:eastAsia="zh-CN"/>
              </w:rPr>
              <w:t>商务评分标准（10分）</w:t>
            </w:r>
          </w:p>
        </w:tc>
        <w:tc>
          <w:tcPr>
            <w:tcW w:w="1487" w:type="dxa"/>
            <w:tcBorders>
              <w:right w:val="single" w:color="auto" w:sz="4" w:space="0"/>
            </w:tcBorders>
            <w:vAlign w:val="center"/>
          </w:tcPr>
          <w:p w14:paraId="53B9BD08">
            <w:pPr>
              <w:pStyle w:val="226"/>
              <w:spacing w:line="276"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业</w:t>
            </w:r>
            <w:r>
              <w:rPr>
                <w:rFonts w:hint="eastAsia" w:ascii="宋体" w:hAnsi="宋体" w:eastAsia="宋体" w:cs="宋体"/>
                <w:color w:val="auto"/>
                <w:sz w:val="21"/>
                <w:szCs w:val="21"/>
                <w:highlight w:val="none"/>
                <w:lang w:eastAsia="zh-CN"/>
              </w:rPr>
              <w:t>绩证明</w:t>
            </w:r>
          </w:p>
          <w:p w14:paraId="2C1CF4B7">
            <w:pPr>
              <w:pStyle w:val="226"/>
              <w:spacing w:line="276" w:lineRule="auto"/>
              <w:jc w:val="center"/>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sz w:val="21"/>
                <w:szCs w:val="21"/>
                <w:highlight w:val="none"/>
                <w:lang w:eastAsia="zh-CN"/>
              </w:rPr>
              <w:t>（3分）</w:t>
            </w:r>
          </w:p>
        </w:tc>
        <w:tc>
          <w:tcPr>
            <w:tcW w:w="6904" w:type="dxa"/>
            <w:vAlign w:val="center"/>
          </w:tcPr>
          <w:p w14:paraId="043AA0D7">
            <w:pPr>
              <w:pStyle w:val="226"/>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投标人提供2022年至今的与本次招标类似或相关非标系统的供货合同复印件，每提供1个合同证明得0.5分，最多得3分。</w:t>
            </w:r>
          </w:p>
          <w:p w14:paraId="2B525490">
            <w:pPr>
              <w:pStyle w:val="226"/>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注：合同内容应能体现甲乙双方盖章页、合同签订时间、标的物名称等主要内容，否则无效。</w:t>
            </w:r>
          </w:p>
        </w:tc>
      </w:tr>
      <w:tr w14:paraId="2713C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0" w:type="dxa"/>
            <w:vMerge w:val="continue"/>
            <w:tcBorders>
              <w:left w:val="single" w:color="auto" w:sz="4" w:space="0"/>
            </w:tcBorders>
            <w:vAlign w:val="center"/>
          </w:tcPr>
          <w:p w14:paraId="15D52BE5">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p>
        </w:tc>
        <w:tc>
          <w:tcPr>
            <w:tcW w:w="1487" w:type="dxa"/>
            <w:tcBorders>
              <w:right w:val="single" w:color="auto" w:sz="4" w:space="0"/>
            </w:tcBorders>
            <w:vAlign w:val="center"/>
          </w:tcPr>
          <w:p w14:paraId="4D1CA10B">
            <w:pPr>
              <w:pStyle w:val="226"/>
              <w:spacing w:line="276"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w:t>
            </w:r>
          </w:p>
          <w:p w14:paraId="492C0E5F">
            <w:pPr>
              <w:pStyle w:val="226"/>
              <w:spacing w:line="276" w:lineRule="auto"/>
              <w:jc w:val="center"/>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sz w:val="21"/>
                <w:szCs w:val="21"/>
                <w:highlight w:val="none"/>
                <w:lang w:eastAsia="zh-CN"/>
              </w:rPr>
              <w:t>（3分）</w:t>
            </w:r>
          </w:p>
        </w:tc>
        <w:tc>
          <w:tcPr>
            <w:tcW w:w="6904" w:type="dxa"/>
            <w:vAlign w:val="center"/>
          </w:tcPr>
          <w:p w14:paraId="16DF9AD1">
            <w:pPr>
              <w:pStyle w:val="226"/>
              <w:spacing w:line="276" w:lineRule="auto"/>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sz w:val="21"/>
                <w:szCs w:val="21"/>
                <w:highlight w:val="none"/>
                <w:lang w:eastAsia="zh-CN"/>
              </w:rPr>
              <w:t>投标供应商取得且处于有效期内的信息安全管理体系认证证书GB/T22080/ISO/IEC27001、信息技术服务管理体系认证证书GB/T24405/ISO/IEC 20000、环境管理体系认证证书GB/T 24001/ISO14001。每提供一份得1分，最高得3分。</w:t>
            </w:r>
          </w:p>
        </w:tc>
      </w:tr>
      <w:tr w14:paraId="59EB0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0" w:type="dxa"/>
            <w:vMerge w:val="continue"/>
            <w:tcBorders>
              <w:left w:val="single" w:color="auto" w:sz="4" w:space="0"/>
            </w:tcBorders>
            <w:vAlign w:val="center"/>
          </w:tcPr>
          <w:p w14:paraId="64152BEF">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p>
        </w:tc>
        <w:tc>
          <w:tcPr>
            <w:tcW w:w="1487" w:type="dxa"/>
            <w:tcBorders>
              <w:right w:val="single" w:color="auto" w:sz="4" w:space="0"/>
            </w:tcBorders>
            <w:vAlign w:val="center"/>
          </w:tcPr>
          <w:p w14:paraId="700F15AA">
            <w:pPr>
              <w:pStyle w:val="226"/>
              <w:spacing w:line="276"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企业</w:t>
            </w:r>
            <w:r>
              <w:rPr>
                <w:rFonts w:hint="eastAsia" w:ascii="宋体" w:hAnsi="宋体" w:eastAsia="宋体" w:cs="宋体"/>
                <w:color w:val="auto"/>
                <w:sz w:val="21"/>
                <w:szCs w:val="21"/>
                <w:highlight w:val="none"/>
              </w:rPr>
              <w:t>实力</w:t>
            </w:r>
          </w:p>
          <w:p w14:paraId="51229A80">
            <w:pPr>
              <w:pStyle w:val="226"/>
              <w:spacing w:line="276" w:lineRule="auto"/>
              <w:jc w:val="center"/>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sz w:val="21"/>
                <w:szCs w:val="21"/>
                <w:highlight w:val="none"/>
                <w:lang w:eastAsia="zh-CN"/>
              </w:rPr>
              <w:t>（3分）</w:t>
            </w:r>
          </w:p>
        </w:tc>
        <w:tc>
          <w:tcPr>
            <w:tcW w:w="6904" w:type="dxa"/>
            <w:vAlign w:val="center"/>
          </w:tcPr>
          <w:p w14:paraId="68573645">
            <w:pPr>
              <w:pStyle w:val="226"/>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投标人需提供合格的项目实施团队构成（包括：项目负责人和技术开发负责人以及其他实施人员）。证明资料如下：</w:t>
            </w:r>
          </w:p>
          <w:p w14:paraId="1207A5CA">
            <w:pPr>
              <w:pStyle w:val="226"/>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项目实施团队</w:t>
            </w:r>
            <w:r>
              <w:rPr>
                <w:rFonts w:hint="eastAsia" w:ascii="宋体" w:hAnsi="宋体" w:eastAsia="宋体" w:cs="宋体"/>
                <w:color w:val="auto"/>
                <w:sz w:val="21"/>
                <w:szCs w:val="21"/>
                <w:highlight w:val="none"/>
                <w:lang w:val="en-US" w:eastAsia="zh-CN"/>
              </w:rPr>
              <w:t>人员中每有一人具有</w:t>
            </w:r>
            <w:r>
              <w:rPr>
                <w:rFonts w:hint="eastAsia" w:ascii="宋体" w:hAnsi="宋体" w:eastAsia="宋体" w:cs="宋体"/>
                <w:color w:val="auto"/>
                <w:sz w:val="21"/>
                <w:szCs w:val="21"/>
                <w:highlight w:val="none"/>
                <w:lang w:eastAsia="zh-CN"/>
              </w:rPr>
              <w:t>获得PMP认证</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lang w:eastAsia="zh-CN"/>
              </w:rPr>
              <w:t>信息系统项目管理师</w:t>
            </w:r>
            <w:r>
              <w:rPr>
                <w:rFonts w:hint="eastAsia" w:ascii="宋体" w:hAnsi="宋体" w:eastAsia="宋体" w:cs="宋体"/>
                <w:color w:val="auto"/>
                <w:sz w:val="21"/>
                <w:szCs w:val="21"/>
                <w:highlight w:val="none"/>
                <w:lang w:val="en-US" w:eastAsia="zh-CN"/>
              </w:rPr>
              <w:t>的得1分，最多得3分</w:t>
            </w:r>
            <w:r>
              <w:rPr>
                <w:rFonts w:hint="eastAsia" w:ascii="宋体" w:hAnsi="宋体" w:eastAsia="宋体" w:cs="宋体"/>
                <w:color w:val="auto"/>
                <w:sz w:val="21"/>
                <w:szCs w:val="21"/>
                <w:highlight w:val="none"/>
                <w:lang w:eastAsia="zh-CN"/>
              </w:rPr>
              <w:t>。</w:t>
            </w:r>
          </w:p>
          <w:p w14:paraId="38AE98D8">
            <w:pPr>
              <w:pStyle w:val="226"/>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w:t>
            </w:r>
            <w:r>
              <w:rPr>
                <w:rFonts w:hint="eastAsia" w:ascii="宋体" w:hAnsi="宋体" w:eastAsia="宋体" w:cs="宋体"/>
                <w:color w:val="auto"/>
                <w:sz w:val="21"/>
                <w:szCs w:val="21"/>
                <w:highlight w:val="none"/>
                <w:lang w:val="en-US" w:eastAsia="zh-CN"/>
              </w:rPr>
              <w:t>须提供人员证书复印件以及</w:t>
            </w:r>
            <w:r>
              <w:rPr>
                <w:rFonts w:hint="eastAsia" w:ascii="宋体" w:hAnsi="宋体" w:eastAsia="宋体" w:cs="宋体"/>
                <w:color w:val="auto"/>
                <w:sz w:val="21"/>
                <w:szCs w:val="21"/>
                <w:highlight w:val="none"/>
                <w:lang w:eastAsia="zh-CN"/>
              </w:rPr>
              <w:t>投标人为其缴纳的近六个月的社保缴纳证明（提供复印件）</w:t>
            </w:r>
          </w:p>
        </w:tc>
      </w:tr>
      <w:tr w14:paraId="34964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0" w:type="dxa"/>
            <w:vMerge w:val="continue"/>
            <w:tcBorders>
              <w:left w:val="single" w:color="auto" w:sz="4" w:space="0"/>
            </w:tcBorders>
            <w:vAlign w:val="center"/>
          </w:tcPr>
          <w:p w14:paraId="11A48AF7">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p>
        </w:tc>
        <w:tc>
          <w:tcPr>
            <w:tcW w:w="1487" w:type="dxa"/>
            <w:tcBorders>
              <w:right w:val="single" w:color="auto" w:sz="4" w:space="0"/>
            </w:tcBorders>
            <w:vAlign w:val="center"/>
          </w:tcPr>
          <w:p w14:paraId="09B64C8C">
            <w:pPr>
              <w:pStyle w:val="226"/>
              <w:spacing w:line="276"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知识产权</w:t>
            </w:r>
          </w:p>
          <w:p w14:paraId="1E1FD3A1">
            <w:pPr>
              <w:pStyle w:val="226"/>
              <w:spacing w:line="276" w:lineRule="auto"/>
              <w:jc w:val="center"/>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sz w:val="21"/>
                <w:szCs w:val="21"/>
                <w:highlight w:val="none"/>
                <w:lang w:eastAsia="zh-CN"/>
              </w:rPr>
              <w:t>（1分）</w:t>
            </w:r>
          </w:p>
        </w:tc>
        <w:tc>
          <w:tcPr>
            <w:tcW w:w="6904" w:type="dxa"/>
            <w:vAlign w:val="center"/>
          </w:tcPr>
          <w:p w14:paraId="1343718D">
            <w:pPr>
              <w:pStyle w:val="226"/>
              <w:spacing w:line="276" w:lineRule="auto"/>
              <w:rPr>
                <w:rFonts w:hint="eastAsia" w:ascii="宋体" w:hAnsi="宋体" w:eastAsia="宋体" w:cs="宋体"/>
                <w:color w:val="auto"/>
                <w:kern w:val="2"/>
                <w:sz w:val="21"/>
                <w:szCs w:val="21"/>
                <w:highlight w:val="none"/>
                <w:lang w:eastAsia="zh-CN" w:bidi="ar"/>
              </w:rPr>
            </w:pPr>
            <w:r>
              <w:rPr>
                <w:rFonts w:hint="eastAsia" w:ascii="宋体" w:hAnsi="宋体" w:eastAsia="宋体" w:cs="宋体"/>
                <w:bCs/>
                <w:color w:val="auto"/>
                <w:sz w:val="21"/>
                <w:szCs w:val="21"/>
                <w:highlight w:val="none"/>
                <w:lang w:eastAsia="zh-CN"/>
              </w:rPr>
              <w:t>投标供应商在本项目实施所涉及软件产品拥有完全自主知识产权，并提供</w:t>
            </w:r>
            <w:r>
              <w:rPr>
                <w:rFonts w:hint="eastAsia" w:ascii="宋体" w:hAnsi="宋体" w:eastAsia="宋体" w:cs="宋体"/>
                <w:bCs/>
                <w:color w:val="auto"/>
                <w:sz w:val="21"/>
                <w:szCs w:val="21"/>
                <w:highlight w:val="none"/>
                <w:lang w:val="en-US" w:eastAsia="zh-CN"/>
              </w:rPr>
              <w:t>软件著作权等级证书</w:t>
            </w:r>
            <w:r>
              <w:rPr>
                <w:rFonts w:hint="eastAsia" w:ascii="宋体" w:hAnsi="宋体" w:eastAsia="宋体" w:cs="宋体"/>
                <w:bCs/>
                <w:color w:val="auto"/>
                <w:sz w:val="21"/>
                <w:szCs w:val="21"/>
                <w:highlight w:val="none"/>
                <w:lang w:eastAsia="zh-CN"/>
              </w:rPr>
              <w:t>证明，每提供1份证明得0.5分，最多1分。</w:t>
            </w:r>
          </w:p>
        </w:tc>
      </w:tr>
      <w:tr w14:paraId="12EAC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vAlign w:val="center"/>
          </w:tcPr>
          <w:p w14:paraId="7A9BF1BE">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kern w:val="2"/>
                <w:sz w:val="21"/>
                <w:szCs w:val="21"/>
                <w:highlight w:val="none"/>
                <w:lang w:eastAsia="zh-CN" w:bidi="ar"/>
              </w:rPr>
              <w:t>技术评分标准（50分）</w:t>
            </w:r>
          </w:p>
        </w:tc>
        <w:tc>
          <w:tcPr>
            <w:tcW w:w="1487" w:type="dxa"/>
            <w:tcBorders>
              <w:right w:val="single" w:color="auto" w:sz="4" w:space="0"/>
            </w:tcBorders>
            <w:vAlign w:val="center"/>
          </w:tcPr>
          <w:p w14:paraId="6718ECCE">
            <w:pPr>
              <w:pStyle w:val="226"/>
              <w:spacing w:before="40" w:line="276" w:lineRule="auto"/>
              <w:ind w:right="57"/>
              <w:jc w:val="center"/>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kern w:val="2"/>
                <w:sz w:val="21"/>
                <w:szCs w:val="21"/>
                <w:highlight w:val="none"/>
                <w:lang w:eastAsia="zh-CN" w:bidi="ar"/>
              </w:rPr>
              <w:t>响应程度</w:t>
            </w:r>
          </w:p>
          <w:p w14:paraId="0F348440">
            <w:pPr>
              <w:pStyle w:val="226"/>
              <w:spacing w:before="40" w:line="276" w:lineRule="auto"/>
              <w:ind w:right="57"/>
              <w:jc w:val="center"/>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kern w:val="2"/>
                <w:sz w:val="21"/>
                <w:szCs w:val="21"/>
                <w:highlight w:val="none"/>
                <w:lang w:eastAsia="zh-CN" w:bidi="ar"/>
              </w:rPr>
              <w:t>（15分）</w:t>
            </w:r>
          </w:p>
        </w:tc>
        <w:tc>
          <w:tcPr>
            <w:tcW w:w="6904" w:type="dxa"/>
            <w:vAlign w:val="center"/>
          </w:tcPr>
          <w:p w14:paraId="64FC5CF3">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全部响应招标文件技术要求的得</w:t>
            </w:r>
            <w:r>
              <w:rPr>
                <w:rFonts w:hint="eastAsia" w:ascii="宋体" w:hAnsi="宋体" w:eastAsia="宋体" w:cs="宋体"/>
                <w:color w:val="auto"/>
                <w:sz w:val="21"/>
                <w:szCs w:val="21"/>
                <w:highlight w:val="none"/>
                <w:lang w:val="en-US" w:eastAsia="zh-CN" w:bidi="ar"/>
              </w:rPr>
              <w:t>15</w:t>
            </w:r>
            <w:r>
              <w:rPr>
                <w:rFonts w:hint="eastAsia" w:ascii="宋体" w:hAnsi="宋体" w:eastAsia="宋体" w:cs="宋体"/>
                <w:color w:val="auto"/>
                <w:sz w:val="21"/>
                <w:szCs w:val="21"/>
                <w:highlight w:val="none"/>
                <w:lang w:eastAsia="zh-CN" w:bidi="ar"/>
              </w:rPr>
              <w:t>分，非星号项每有一项不满足扣3分，扣到0分为止。</w:t>
            </w:r>
          </w:p>
          <w:p w14:paraId="681A7BBF">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1.以最低等级编号为一项参数；若无最低等级编号，则以上一级别编号为一项参数，以此类推。</w:t>
            </w:r>
          </w:p>
          <w:p w14:paraId="6D5A4F1E">
            <w:pPr>
              <w:pStyle w:val="226"/>
              <w:ind w:firstLine="210" w:firstLineChars="100"/>
              <w:rPr>
                <w:rFonts w:hint="eastAsia" w:ascii="宋体" w:hAnsi="宋体" w:eastAsia="宋体" w:cs="宋体"/>
                <w:color w:val="auto"/>
                <w:highlight w:val="none"/>
                <w:lang w:bidi="ar"/>
              </w:rPr>
            </w:pPr>
            <w:r>
              <w:rPr>
                <w:rFonts w:hint="eastAsia" w:ascii="宋体" w:hAnsi="宋体" w:eastAsia="宋体" w:cs="宋体"/>
                <w:color w:val="auto"/>
                <w:sz w:val="21"/>
                <w:szCs w:val="21"/>
                <w:highlight w:val="none"/>
                <w:lang w:eastAsia="zh-CN" w:bidi="ar"/>
              </w:rPr>
              <w:t>2.技术要求中要求提供证明材料的，投标人提供相关证明材料予以佐证并加盖投标人公章，若未提供证明材料的则视为负偏离。</w:t>
            </w:r>
          </w:p>
        </w:tc>
      </w:tr>
      <w:tr w14:paraId="1E633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900" w:type="dxa"/>
            <w:vMerge w:val="continue"/>
            <w:vAlign w:val="center"/>
          </w:tcPr>
          <w:p w14:paraId="7EC3EBA5">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p>
        </w:tc>
        <w:tc>
          <w:tcPr>
            <w:tcW w:w="1487" w:type="dxa"/>
            <w:tcBorders>
              <w:right w:val="single" w:color="auto" w:sz="4" w:space="0"/>
            </w:tcBorders>
            <w:vAlign w:val="center"/>
          </w:tcPr>
          <w:p w14:paraId="0AA62825">
            <w:pPr>
              <w:pStyle w:val="226"/>
              <w:spacing w:line="276" w:lineRule="auto"/>
              <w:ind w:firstLine="0" w:firstLineChars="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定制化设计方案</w:t>
            </w:r>
          </w:p>
          <w:p w14:paraId="70687C59">
            <w:pPr>
              <w:pStyle w:val="226"/>
              <w:spacing w:line="276" w:lineRule="auto"/>
              <w:ind w:firstLine="210" w:firstLineChars="1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eastAsia="zh-CN" w:bidi="ar"/>
              </w:rPr>
              <w:t>（15分)</w:t>
            </w:r>
          </w:p>
        </w:tc>
        <w:tc>
          <w:tcPr>
            <w:tcW w:w="6904" w:type="dxa"/>
            <w:vAlign w:val="center"/>
          </w:tcPr>
          <w:p w14:paraId="0278AD62">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根据系统总体设计方案的技术先进性、合理可行性、功能全面性等方面进行综合评定。包括不限于：</w:t>
            </w:r>
          </w:p>
          <w:p w14:paraId="763CC503">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1.提供和TC系统、OA办公系统等完善的系统集成接口解决方案；</w:t>
            </w:r>
          </w:p>
          <w:p w14:paraId="66CE300D">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2.提供IETM编制、管理等规范的制定和体系建设方案；</w:t>
            </w:r>
          </w:p>
          <w:p w14:paraId="2AF2B5D3">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3. 提供公司网站的建设方案（包括但不限于承诺后续交付定制化开发源代码包并搭建开发环境）。</w:t>
            </w:r>
          </w:p>
          <w:p w14:paraId="7A3F390A">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优秀得</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11</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15</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分，良好得</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6</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10</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分，一般得</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0</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5</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分。</w:t>
            </w:r>
          </w:p>
          <w:p w14:paraId="6119C99E">
            <w:pPr>
              <w:pStyle w:val="226"/>
              <w:spacing w:line="276" w:lineRule="auto"/>
              <w:ind w:firstLine="210" w:firstLineChars="1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eastAsia="zh-CN"/>
              </w:rPr>
              <w:t>注：打分为整数。</w:t>
            </w:r>
          </w:p>
        </w:tc>
      </w:tr>
      <w:tr w14:paraId="798F1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900" w:type="dxa"/>
            <w:vMerge w:val="continue"/>
            <w:vAlign w:val="center"/>
          </w:tcPr>
          <w:p w14:paraId="37552069">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p>
        </w:tc>
        <w:tc>
          <w:tcPr>
            <w:tcW w:w="1487" w:type="dxa"/>
            <w:tcBorders>
              <w:right w:val="single" w:color="auto" w:sz="4" w:space="0"/>
            </w:tcBorders>
            <w:vAlign w:val="center"/>
          </w:tcPr>
          <w:p w14:paraId="2470DA02">
            <w:pPr>
              <w:pStyle w:val="226"/>
              <w:spacing w:before="40" w:line="276" w:lineRule="auto"/>
              <w:ind w:right="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界面设计方案</w:t>
            </w:r>
          </w:p>
          <w:p w14:paraId="79BE96CF">
            <w:pPr>
              <w:pStyle w:val="226"/>
              <w:spacing w:before="40" w:line="276" w:lineRule="auto"/>
              <w:ind w:right="57"/>
              <w:jc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rPr>
              <w:t>（10分）</w:t>
            </w:r>
          </w:p>
        </w:tc>
        <w:tc>
          <w:tcPr>
            <w:tcW w:w="6904" w:type="dxa"/>
            <w:vAlign w:val="center"/>
          </w:tcPr>
          <w:p w14:paraId="7B049A75">
            <w:pPr>
              <w:pStyle w:val="226"/>
              <w:spacing w:line="276" w:lineRule="auto"/>
              <w:ind w:firstLine="210" w:firstLineChars="1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投标方提供详细的界面设计方案和操作说明，根据方案中用户界面、功能等方面进行综合评定。</w:t>
            </w:r>
          </w:p>
          <w:p w14:paraId="193E4A13">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优秀得</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8</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10</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分，良好得</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4</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7</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分，一般得</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0</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3</w:t>
            </w:r>
            <w:r>
              <w:rPr>
                <w:rFonts w:hint="eastAsia" w:ascii="宋体" w:hAnsi="宋体" w:eastAsia="宋体" w:cs="宋体"/>
                <w:color w:val="auto"/>
                <w:sz w:val="21"/>
                <w:szCs w:val="21"/>
                <w:highlight w:val="none"/>
                <w:lang w:val="en-US" w:eastAsia="zh-CN" w:bidi="ar"/>
              </w:rPr>
              <w:t>]</w:t>
            </w:r>
            <w:r>
              <w:rPr>
                <w:rFonts w:hint="eastAsia" w:ascii="宋体" w:hAnsi="宋体" w:eastAsia="宋体" w:cs="宋体"/>
                <w:color w:val="auto"/>
                <w:sz w:val="21"/>
                <w:szCs w:val="21"/>
                <w:highlight w:val="none"/>
                <w:lang w:eastAsia="zh-CN" w:bidi="ar"/>
              </w:rPr>
              <w:t>分。</w:t>
            </w:r>
          </w:p>
          <w:p w14:paraId="52946513">
            <w:pPr>
              <w:pStyle w:val="226"/>
              <w:spacing w:line="276" w:lineRule="auto"/>
              <w:ind w:firstLine="210" w:firstLineChars="100"/>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rPr>
              <w:t>注：打分为整数。</w:t>
            </w:r>
          </w:p>
        </w:tc>
      </w:tr>
      <w:tr w14:paraId="1C3AC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675F7226">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p>
        </w:tc>
        <w:tc>
          <w:tcPr>
            <w:tcW w:w="1487" w:type="dxa"/>
            <w:tcBorders>
              <w:right w:val="single" w:color="auto" w:sz="4" w:space="0"/>
            </w:tcBorders>
            <w:vAlign w:val="center"/>
          </w:tcPr>
          <w:p w14:paraId="44BFC334">
            <w:pPr>
              <w:pStyle w:val="226"/>
              <w:spacing w:before="40" w:line="276" w:lineRule="auto"/>
              <w:ind w:right="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实施方案</w:t>
            </w:r>
          </w:p>
          <w:p w14:paraId="244D03F2">
            <w:pPr>
              <w:pStyle w:val="226"/>
              <w:spacing w:before="40" w:line="276" w:lineRule="auto"/>
              <w:ind w:right="57"/>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eastAsia="zh-CN"/>
              </w:rPr>
              <w:t>（5分）</w:t>
            </w:r>
          </w:p>
        </w:tc>
        <w:tc>
          <w:tcPr>
            <w:tcW w:w="6904" w:type="dxa"/>
            <w:vAlign w:val="center"/>
          </w:tcPr>
          <w:p w14:paraId="54386138">
            <w:pPr>
              <w:pStyle w:val="226"/>
              <w:spacing w:line="276" w:lineRule="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对投标的实施方案，包括项目团队组织、安装、调试、验收、质量保证、培训、供货计划等内容进行综合评定：优秀得</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4</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5</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分，良好得</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2</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3</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分，一般得</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0</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分。</w:t>
            </w:r>
          </w:p>
          <w:p w14:paraId="0928A7E9">
            <w:pPr>
              <w:pStyle w:val="226"/>
              <w:spacing w:line="276" w:lineRule="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eastAsia="zh-CN"/>
              </w:rPr>
              <w:t>注：打分为整数。</w:t>
            </w:r>
          </w:p>
        </w:tc>
      </w:tr>
      <w:tr w14:paraId="296CF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5" w:hRule="atLeast"/>
        </w:trPr>
        <w:tc>
          <w:tcPr>
            <w:tcW w:w="900" w:type="dxa"/>
            <w:vMerge w:val="continue"/>
            <w:vAlign w:val="center"/>
          </w:tcPr>
          <w:p w14:paraId="23F2937C">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p>
        </w:tc>
        <w:tc>
          <w:tcPr>
            <w:tcW w:w="1487" w:type="dxa"/>
            <w:tcBorders>
              <w:right w:val="single" w:color="auto" w:sz="4" w:space="0"/>
            </w:tcBorders>
            <w:vAlign w:val="center"/>
          </w:tcPr>
          <w:p w14:paraId="106A00FF">
            <w:pPr>
              <w:pStyle w:val="226"/>
              <w:spacing w:before="40" w:line="276" w:lineRule="auto"/>
              <w:ind w:right="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保修及售后服务方案</w:t>
            </w:r>
          </w:p>
          <w:p w14:paraId="236B4564">
            <w:pPr>
              <w:pStyle w:val="226"/>
              <w:spacing w:before="40" w:line="276" w:lineRule="auto"/>
              <w:ind w:right="57"/>
              <w:jc w:val="center"/>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rPr>
              <w:t>（5分）</w:t>
            </w:r>
          </w:p>
        </w:tc>
        <w:tc>
          <w:tcPr>
            <w:tcW w:w="6904" w:type="dxa"/>
            <w:vAlign w:val="center"/>
          </w:tcPr>
          <w:p w14:paraId="58B23D52">
            <w:pPr>
              <w:adjustRightInd w:val="0"/>
              <w:snapToGrid w:val="0"/>
              <w:spacing w:line="276" w:lineRule="auto"/>
              <w:jc w:val="left"/>
              <w:textAlignment w:val="baseline"/>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1.质保期满足招标文件要求得0分，每增加1年加1分，最高加2分；</w:t>
            </w:r>
          </w:p>
          <w:p w14:paraId="7C56B262">
            <w:pPr>
              <w:adjustRightInd w:val="0"/>
              <w:snapToGrid w:val="0"/>
              <w:spacing w:line="276" w:lineRule="auto"/>
              <w:jc w:val="left"/>
              <w:textAlignment w:val="baseline"/>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2.投标方提供清晰明确的保修方案、切实可行的售后服务方案，根据其方案（除售后服务网点和质保期的内容）进行综合评定，择优得0-3分。</w:t>
            </w:r>
          </w:p>
          <w:p w14:paraId="5D453B4F">
            <w:pPr>
              <w:adjustRightInd w:val="0"/>
              <w:snapToGrid w:val="0"/>
              <w:spacing w:line="276" w:lineRule="auto"/>
              <w:jc w:val="left"/>
              <w:textAlignment w:val="baseline"/>
              <w:rPr>
                <w:rFonts w:hint="eastAsia" w:ascii="宋体" w:hAnsi="宋体" w:eastAsia="宋体" w:cs="宋体"/>
                <w:bCs/>
                <w:color w:val="auto"/>
                <w:kern w:val="0"/>
                <w:highlight w:val="none"/>
                <w:lang w:eastAsia="en-US"/>
              </w:rPr>
            </w:pPr>
            <w:r>
              <w:rPr>
                <w:rFonts w:hint="eastAsia" w:ascii="宋体" w:hAnsi="宋体" w:eastAsia="宋体" w:cs="宋体"/>
                <w:color w:val="auto"/>
                <w:highlight w:val="none"/>
              </w:rPr>
              <w:t>注：打分为整数。</w:t>
            </w:r>
          </w:p>
        </w:tc>
      </w:tr>
      <w:tr w14:paraId="029D0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0" w:type="dxa"/>
            <w:vAlign w:val="center"/>
          </w:tcPr>
          <w:p w14:paraId="799C0C5D">
            <w:pPr>
              <w:pStyle w:val="226"/>
              <w:spacing w:before="40" w:line="276" w:lineRule="auto"/>
              <w:ind w:right="57"/>
              <w:jc w:val="both"/>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kern w:val="2"/>
                <w:sz w:val="21"/>
                <w:szCs w:val="21"/>
                <w:highlight w:val="none"/>
                <w:lang w:eastAsia="zh-CN" w:bidi="ar"/>
              </w:rPr>
              <w:t>投标报价评分标准（40分）</w:t>
            </w:r>
          </w:p>
        </w:tc>
        <w:tc>
          <w:tcPr>
            <w:tcW w:w="1487" w:type="dxa"/>
            <w:tcBorders>
              <w:right w:val="single" w:color="auto" w:sz="4" w:space="0"/>
            </w:tcBorders>
            <w:vAlign w:val="center"/>
          </w:tcPr>
          <w:p w14:paraId="77525525">
            <w:pPr>
              <w:pStyle w:val="226"/>
              <w:spacing w:before="40" w:line="276" w:lineRule="auto"/>
              <w:ind w:right="57"/>
              <w:jc w:val="center"/>
              <w:rPr>
                <w:rFonts w:hint="eastAsia" w:ascii="宋体" w:hAnsi="宋体" w:eastAsia="宋体" w:cs="宋体"/>
                <w:color w:val="auto"/>
                <w:kern w:val="2"/>
                <w:sz w:val="21"/>
                <w:szCs w:val="21"/>
                <w:highlight w:val="none"/>
                <w:lang w:eastAsia="zh-CN" w:bidi="ar"/>
              </w:rPr>
            </w:pPr>
            <w:r>
              <w:rPr>
                <w:rFonts w:hint="eastAsia" w:ascii="宋体" w:hAnsi="宋体" w:eastAsia="宋体" w:cs="宋体"/>
                <w:color w:val="auto"/>
                <w:kern w:val="2"/>
                <w:sz w:val="21"/>
                <w:szCs w:val="21"/>
                <w:highlight w:val="none"/>
                <w:lang w:eastAsia="zh-CN" w:bidi="ar"/>
              </w:rPr>
              <w:t>价格（40分）</w:t>
            </w:r>
          </w:p>
        </w:tc>
        <w:tc>
          <w:tcPr>
            <w:tcW w:w="6904" w:type="dxa"/>
            <w:vAlign w:val="center"/>
          </w:tcPr>
          <w:p w14:paraId="5BBF37D7">
            <w:pPr>
              <w:spacing w:line="276" w:lineRule="auto"/>
              <w:rPr>
                <w:rFonts w:hint="eastAsia" w:ascii="宋体" w:hAnsi="宋体" w:eastAsia="宋体" w:cs="宋体"/>
                <w:b/>
                <w:bCs/>
                <w:color w:val="auto"/>
                <w:highlight w:val="none"/>
                <w:lang w:bidi="ar"/>
              </w:rPr>
            </w:pPr>
            <w:r>
              <w:rPr>
                <w:rFonts w:hint="eastAsia" w:ascii="宋体" w:hAnsi="宋体" w:eastAsia="宋体" w:cs="宋体"/>
                <w:b/>
                <w:bCs/>
                <w:color w:val="auto"/>
                <w:highlight w:val="none"/>
                <w:lang w:bidi="ar"/>
              </w:rPr>
              <w:t>以不含税的报价作为评分依据。</w:t>
            </w:r>
          </w:p>
          <w:p w14:paraId="6EDFF99E">
            <w:pPr>
              <w:spacing w:line="276" w:lineRule="auto"/>
              <w:rPr>
                <w:rFonts w:hint="eastAsia" w:ascii="宋体" w:hAnsi="宋体" w:eastAsia="宋体" w:cs="宋体"/>
                <w:color w:val="auto"/>
                <w:highlight w:val="none"/>
                <w:lang w:bidi="ar"/>
              </w:rPr>
            </w:pPr>
            <w:r>
              <w:rPr>
                <w:rFonts w:hint="eastAsia" w:ascii="宋体" w:hAnsi="宋体" w:eastAsia="宋体" w:cs="宋体"/>
                <w:color w:val="auto"/>
                <w:highlight w:val="none"/>
                <w:lang w:bidi="ar"/>
              </w:rPr>
              <w:t>1.基准价=有效投标人有效报价的平均值；</w:t>
            </w:r>
          </w:p>
          <w:p w14:paraId="007A868A">
            <w:pPr>
              <w:spacing w:line="276" w:lineRule="auto"/>
              <w:ind w:left="360" w:hanging="360"/>
              <w:rPr>
                <w:rFonts w:hint="eastAsia" w:ascii="宋体" w:hAnsi="宋体" w:eastAsia="宋体" w:cs="宋体"/>
                <w:color w:val="auto"/>
                <w:highlight w:val="none"/>
                <w:lang w:bidi="ar"/>
              </w:rPr>
            </w:pPr>
            <w:r>
              <w:rPr>
                <w:rFonts w:hint="eastAsia" w:ascii="宋体" w:hAnsi="宋体" w:eastAsia="宋体" w:cs="宋体"/>
                <w:color w:val="auto"/>
                <w:highlight w:val="none"/>
                <w:lang w:bidi="ar"/>
              </w:rPr>
              <w:t>2.价格分计算方法(保留两位小数，第三位四舍五入计算):</w:t>
            </w:r>
          </w:p>
          <w:p w14:paraId="5B19B40B">
            <w:pPr>
              <w:spacing w:line="276" w:lineRule="auto"/>
              <w:rPr>
                <w:rFonts w:hint="eastAsia" w:ascii="宋体" w:hAnsi="宋体" w:eastAsia="宋体" w:cs="宋体"/>
                <w:color w:val="auto"/>
                <w:highlight w:val="none"/>
                <w:lang w:bidi="ar"/>
              </w:rPr>
            </w:pPr>
            <w:r>
              <w:rPr>
                <w:rFonts w:hint="eastAsia" w:ascii="宋体" w:hAnsi="宋体" w:eastAsia="宋体" w:cs="宋体"/>
                <w:color w:val="auto"/>
                <w:highlight w:val="none"/>
                <w:lang w:bidi="ar"/>
              </w:rPr>
              <w:t>A.有效报价低于或等于基准价</w:t>
            </w:r>
          </w:p>
          <w:p w14:paraId="00EC3B16">
            <w:pPr>
              <w:spacing w:line="276" w:lineRule="auto"/>
              <w:rPr>
                <w:rFonts w:hint="eastAsia" w:ascii="宋体" w:hAnsi="宋体" w:eastAsia="宋体" w:cs="宋体"/>
                <w:color w:val="auto"/>
                <w:highlight w:val="none"/>
                <w:lang w:bidi="ar"/>
              </w:rPr>
            </w:pPr>
            <w:r>
              <w:rPr>
                <w:rFonts w:hint="eastAsia" w:ascii="宋体" w:hAnsi="宋体" w:eastAsia="宋体" w:cs="宋体"/>
                <w:color w:val="auto"/>
                <w:highlight w:val="none"/>
                <w:lang w:bidi="ar"/>
              </w:rPr>
              <w:t>报价得分=(1-|报价-基准价|/基准价)×40</w:t>
            </w:r>
          </w:p>
          <w:p w14:paraId="0642552C">
            <w:pPr>
              <w:spacing w:line="276" w:lineRule="auto"/>
              <w:rPr>
                <w:rFonts w:hint="eastAsia" w:ascii="宋体" w:hAnsi="宋体" w:eastAsia="宋体" w:cs="宋体"/>
                <w:color w:val="auto"/>
                <w:highlight w:val="none"/>
                <w:lang w:bidi="ar"/>
              </w:rPr>
            </w:pPr>
            <w:r>
              <w:rPr>
                <w:rFonts w:hint="eastAsia" w:ascii="宋体" w:hAnsi="宋体" w:eastAsia="宋体" w:cs="宋体"/>
                <w:color w:val="auto"/>
                <w:highlight w:val="none"/>
                <w:lang w:bidi="ar"/>
              </w:rPr>
              <w:t>B.有效报价高于基准价</w:t>
            </w:r>
          </w:p>
          <w:p w14:paraId="683D1B1E">
            <w:pPr>
              <w:spacing w:line="276" w:lineRule="auto"/>
              <w:rPr>
                <w:rFonts w:hint="eastAsia" w:ascii="宋体" w:hAnsi="宋体" w:eastAsia="宋体" w:cs="宋体"/>
                <w:color w:val="auto"/>
                <w:highlight w:val="none"/>
                <w:lang w:bidi="ar"/>
              </w:rPr>
            </w:pPr>
            <w:r>
              <w:rPr>
                <w:rFonts w:hint="eastAsia" w:ascii="宋体" w:hAnsi="宋体" w:eastAsia="宋体" w:cs="宋体"/>
                <w:color w:val="auto"/>
                <w:highlight w:val="none"/>
                <w:lang w:bidi="ar"/>
              </w:rPr>
              <w:t>报价得分=(1-|报价-基准价|/基准价)×40×0.95</w:t>
            </w:r>
          </w:p>
          <w:p w14:paraId="117FE005">
            <w:pPr>
              <w:spacing w:line="276" w:lineRule="auto"/>
              <w:rPr>
                <w:rFonts w:hint="eastAsia" w:ascii="宋体" w:hAnsi="宋体" w:eastAsia="宋体" w:cs="宋体"/>
                <w:color w:val="auto"/>
                <w:highlight w:val="none"/>
                <w:lang w:bidi="ar"/>
              </w:rPr>
            </w:pPr>
            <w:r>
              <w:rPr>
                <w:rFonts w:hint="eastAsia" w:ascii="宋体" w:hAnsi="宋体" w:eastAsia="宋体" w:cs="宋体"/>
                <w:color w:val="auto"/>
                <w:highlight w:val="none"/>
                <w:lang w:bidi="ar"/>
              </w:rPr>
              <w:t>投标人报价明显低于其他投标人报价的，有可能影响项目质量或不能诚信履约的，评审小组有权要求其在评审现场合理的时间内提供书面说明，必要时提供相应证明材料;投标人不能证明其报价合理性的，评审小组应当将其作为无效报价处理。</w:t>
            </w:r>
          </w:p>
        </w:tc>
      </w:tr>
    </w:tbl>
    <w:p w14:paraId="68258ECD">
      <w:pP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br w:type="page"/>
      </w:r>
    </w:p>
    <w:p w14:paraId="17AAD7FF">
      <w:pPr>
        <w:autoSpaceDE w:val="0"/>
        <w:autoSpaceDN w:val="0"/>
        <w:adjustRightInd w:val="0"/>
        <w:spacing w:line="400" w:lineRule="exact"/>
        <w:rPr>
          <w:rFonts w:hint="eastAsia" w:ascii="宋体" w:hAnsi="宋体" w:eastAsia="宋体" w:cs="宋体"/>
          <w:b/>
          <w:color w:val="auto"/>
          <w:sz w:val="48"/>
          <w:szCs w:val="48"/>
          <w:highlight w:val="none"/>
        </w:rPr>
      </w:pPr>
    </w:p>
    <w:p w14:paraId="611C4C24">
      <w:pPr>
        <w:autoSpaceDE w:val="0"/>
        <w:autoSpaceDN w:val="0"/>
        <w:adjustRightInd w:val="0"/>
        <w:spacing w:line="400" w:lineRule="exact"/>
        <w:jc w:val="center"/>
        <w:outlineLvl w:val="0"/>
        <w:rPr>
          <w:rFonts w:hint="eastAsia" w:ascii="宋体" w:hAnsi="宋体" w:eastAsia="宋体" w:cs="宋体"/>
          <w:b/>
          <w:color w:val="auto"/>
          <w:kern w:val="0"/>
          <w:sz w:val="36"/>
          <w:szCs w:val="36"/>
          <w:highlight w:val="none"/>
        </w:rPr>
      </w:pPr>
      <w:bookmarkStart w:id="147" w:name="_Toc26192"/>
      <w:r>
        <w:rPr>
          <w:rFonts w:hint="eastAsia" w:ascii="宋体" w:hAnsi="宋体" w:eastAsia="宋体" w:cs="宋体"/>
          <w:b/>
          <w:color w:val="auto"/>
          <w:kern w:val="0"/>
          <w:sz w:val="36"/>
          <w:szCs w:val="36"/>
          <w:highlight w:val="none"/>
        </w:rPr>
        <w:t>第五章 技术标准和要求</w:t>
      </w:r>
      <w:bookmarkEnd w:id="147"/>
    </w:p>
    <w:p w14:paraId="3598AB87">
      <w:pPr>
        <w:jc w:val="left"/>
        <w:rPr>
          <w:rFonts w:hint="eastAsia" w:ascii="宋体" w:hAnsi="宋体" w:eastAsia="宋体" w:cs="宋体"/>
          <w:color w:val="auto"/>
          <w:szCs w:val="22"/>
          <w:highlight w:val="none"/>
        </w:rPr>
      </w:pPr>
    </w:p>
    <w:p w14:paraId="656BDD63">
      <w:pPr>
        <w:pStyle w:val="246"/>
        <w:numPr>
          <w:ilvl w:val="0"/>
          <w:numId w:val="0"/>
        </w:numPr>
        <w:spacing w:before="156" w:after="156"/>
        <w:jc w:val="center"/>
        <w:rPr>
          <w:rFonts w:hint="eastAsia" w:ascii="宋体" w:hAnsi="宋体" w:eastAsia="宋体" w:cs="宋体"/>
          <w:bCs/>
          <w:color w:val="auto"/>
          <w:highlight w:val="none"/>
        </w:rPr>
      </w:pPr>
      <w:r>
        <w:rPr>
          <w:rFonts w:hint="eastAsia" w:ascii="宋体" w:hAnsi="宋体" w:eastAsia="宋体" w:cs="宋体"/>
          <w:color w:val="auto"/>
          <w:highlight w:val="none"/>
        </w:rPr>
        <w:t>客服技术支持服务文件编制工具技术要求</w:t>
      </w:r>
    </w:p>
    <w:p w14:paraId="5694DE5C">
      <w:pPr>
        <w:pStyle w:val="246"/>
        <w:numPr>
          <w:ilvl w:val="1"/>
          <w:numId w:val="0"/>
        </w:numPr>
        <w:spacing w:before="156" w:after="15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 设备名称</w:t>
      </w:r>
    </w:p>
    <w:p w14:paraId="2823467E">
      <w:pPr>
        <w:pStyle w:val="8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★客服技术支持服务文件编制工具</w:t>
      </w:r>
    </w:p>
    <w:p w14:paraId="6C5405CB">
      <w:pPr>
        <w:pStyle w:val="246"/>
        <w:numPr>
          <w:ilvl w:val="1"/>
          <w:numId w:val="0"/>
        </w:numPr>
        <w:spacing w:before="156" w:after="15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 数量</w:t>
      </w:r>
    </w:p>
    <w:p w14:paraId="6E6F3B86">
      <w:pPr>
        <w:pStyle w:val="8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1套</w:t>
      </w:r>
    </w:p>
    <w:p w14:paraId="3C4B6A68">
      <w:pPr>
        <w:pStyle w:val="246"/>
        <w:numPr>
          <w:ilvl w:val="1"/>
          <w:numId w:val="0"/>
        </w:numPr>
        <w:spacing w:before="156" w:after="15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 交货期</w:t>
      </w:r>
    </w:p>
    <w:p w14:paraId="343DF2D2">
      <w:pPr>
        <w:pStyle w:val="8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自合同签订之日起，4个月内达到交付状态</w:t>
      </w:r>
      <w:r>
        <w:rPr>
          <w:rFonts w:hint="eastAsia" w:ascii="宋体" w:hAnsi="宋体" w:eastAsia="宋体" w:cs="宋体"/>
          <w:bCs/>
          <w:color w:val="auto"/>
          <w:sz w:val="24"/>
          <w:szCs w:val="24"/>
          <w:highlight w:val="none"/>
        </w:rPr>
        <w:t>。</w:t>
      </w:r>
    </w:p>
    <w:p w14:paraId="04978B27">
      <w:pPr>
        <w:pStyle w:val="246"/>
        <w:numPr>
          <w:ilvl w:val="1"/>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用途</w:t>
      </w:r>
    </w:p>
    <w:p w14:paraId="54A0E56D">
      <w:pPr>
        <w:pStyle w:val="87"/>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通过建设客服技术支持服务文件编制工具满足客服支持体系的要求，编制各类交互电子手册，为客服公司提供标准化的技术支持文件。</w:t>
      </w:r>
    </w:p>
    <w:p w14:paraId="439C2B67">
      <w:pPr>
        <w:pStyle w:val="87"/>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通过建设公司网站提供便捷、快速的文件传递途径，让最终用户获取最新状态的技术支持文件及其它产品资料。</w:t>
      </w:r>
    </w:p>
    <w:p w14:paraId="05AC5402">
      <w:pPr>
        <w:pStyle w:val="246"/>
        <w:numPr>
          <w:ilvl w:val="1"/>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★系统功能要求</w:t>
      </w:r>
    </w:p>
    <w:p w14:paraId="05170E12">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总体要求</w:t>
      </w:r>
    </w:p>
    <w:p w14:paraId="1D90E102">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基于S1000D、ATA2300、GJB6600的一套客服技术支持服务文件编制工具，实现基于结构化的手册内容编制、内容管理、多形式发布、交互式浏览和源数据跟踪与变更管理以及安全保密管理等全套功能。</w:t>
      </w:r>
    </w:p>
    <w:p w14:paraId="5A14C8E4">
      <w:pPr>
        <w:pStyle w:val="87"/>
        <w:numPr>
          <w:ilvl w:val="0"/>
          <w:numId w:val="2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支持S1000D4.0.1、S1000D4.1、S1000D4.2、S1000D5.0和ATA2300标准。</w:t>
      </w:r>
    </w:p>
    <w:p w14:paraId="6A6BB163">
      <w:pPr>
        <w:pStyle w:val="87"/>
        <w:numPr>
          <w:ilvl w:val="0"/>
          <w:numId w:val="2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实现多型号技术出版的内容创作、内容管理、内容发布、内容交付和交互式浏览以及变更管理。</w:t>
      </w:r>
    </w:p>
    <w:p w14:paraId="408105A5">
      <w:pPr>
        <w:pStyle w:val="87"/>
        <w:numPr>
          <w:ilvl w:val="0"/>
          <w:numId w:val="2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内容管理系统（CSDB）不限制标准版本和型号。</w:t>
      </w:r>
    </w:p>
    <w:p w14:paraId="30C26D40">
      <w:pPr>
        <w:pStyle w:val="87"/>
        <w:numPr>
          <w:ilvl w:val="0"/>
          <w:numId w:val="2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支持技术出版物数据的电子化流程管理。</w:t>
      </w:r>
    </w:p>
    <w:p w14:paraId="2DE5EFB7">
      <w:pPr>
        <w:pStyle w:val="87"/>
        <w:numPr>
          <w:ilvl w:val="0"/>
          <w:numId w:val="2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支持源数据跟踪和变更管理，可有效支持技术出版物全生命周期数据追溯和变更控制。</w:t>
      </w:r>
    </w:p>
    <w:p w14:paraId="692A138C">
      <w:pPr>
        <w:pStyle w:val="87"/>
        <w:numPr>
          <w:ilvl w:val="0"/>
          <w:numId w:val="2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支持PDF、IETM、数据包以及Word等形式的技术出版物发布。</w:t>
      </w:r>
    </w:p>
    <w:p w14:paraId="0E3CDA6C">
      <w:pPr>
        <w:pStyle w:val="87"/>
        <w:numPr>
          <w:ilvl w:val="0"/>
          <w:numId w:val="2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IETM浏览器支持单机、网络和PAD部署。</w:t>
      </w:r>
    </w:p>
    <w:p w14:paraId="39BC82F8">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源数据管理</w:t>
      </w:r>
    </w:p>
    <w:p w14:paraId="54692B9D">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源数据与变更管理软件。源数据与变更管理为技术出版物的内容编制作提供源数据标注能力，从源头建立数据的跟踪机制，并针对源数据的更改建立更改控制。</w:t>
      </w:r>
    </w:p>
    <w:p w14:paraId="61BB18C0">
      <w:pPr>
        <w:pStyle w:val="87"/>
        <w:numPr>
          <w:ilvl w:val="0"/>
          <w:numId w:val="2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源数据管理。支持自定义各类源数据文档分类管理，实现对源数据文档的关联管理，支持按照文档名称、文件类型、日期等进行条件检索，支持查看源数据的被参引情况及关联的变更单。</w:t>
      </w:r>
    </w:p>
    <w:p w14:paraId="61B15B1C">
      <w:pPr>
        <w:pStyle w:val="87"/>
        <w:numPr>
          <w:ilvl w:val="0"/>
          <w:numId w:val="2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源数据标注。支持在数据模块编写时以可视化界面方式添加源数据标注（包括文件号/图纸编号及具体章节），支持的标注对象为数据模块以及实体对象。</w:t>
      </w:r>
    </w:p>
    <w:p w14:paraId="6C012772">
      <w:pPr>
        <w:pStyle w:val="87"/>
        <w:numPr>
          <w:ilvl w:val="0"/>
          <w:numId w:val="2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变更管理。提供变更单的发起、编辑、删除、浏览等操作，具体信息包括变更单编码、变更单名称、更改原因、创建人、创建时间、状态描述、备注等。</w:t>
      </w:r>
    </w:p>
    <w:p w14:paraId="6F68433E">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 内容编辑</w:t>
      </w:r>
    </w:p>
    <w:p w14:paraId="58AA9C91">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概述</w:t>
      </w:r>
    </w:p>
    <w:p w14:paraId="0DE88987">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提供结构化内容编辑器提供</w:t>
      </w:r>
      <w:bookmarkStart w:id="148" w:name="OLE_LINK1"/>
      <w:bookmarkStart w:id="149" w:name="OLE_LINK2"/>
      <w:r>
        <w:rPr>
          <w:rFonts w:hint="eastAsia" w:ascii="宋体" w:hAnsi="宋体" w:eastAsia="宋体" w:cs="宋体"/>
          <w:color w:val="auto"/>
          <w:sz w:val="24"/>
          <w:szCs w:val="24"/>
          <w:highlight w:val="none"/>
        </w:rPr>
        <w:t>S1000D</w:t>
      </w:r>
      <w:bookmarkEnd w:id="148"/>
      <w:bookmarkEnd w:id="149"/>
      <w:r>
        <w:rPr>
          <w:rFonts w:hint="eastAsia" w:ascii="宋体" w:hAnsi="宋体" w:eastAsia="宋体" w:cs="宋体"/>
          <w:color w:val="auto"/>
          <w:sz w:val="24"/>
          <w:szCs w:val="24"/>
          <w:highlight w:val="none"/>
        </w:rPr>
        <w:t>的主要数据类型的编辑，能够采用标签模式和图形化模式等方式高效完成数据模块的编写。内容编辑包含：</w:t>
      </w:r>
    </w:p>
    <w:p w14:paraId="60B76177">
      <w:pPr>
        <w:pStyle w:val="87"/>
        <w:numPr>
          <w:ilvl w:val="0"/>
          <w:numId w:val="22"/>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基本编写功能；</w:t>
      </w:r>
    </w:p>
    <w:p w14:paraId="1AACFDE5">
      <w:pPr>
        <w:pStyle w:val="87"/>
        <w:numPr>
          <w:ilvl w:val="0"/>
          <w:numId w:val="22"/>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图形化编写功能；</w:t>
      </w:r>
    </w:p>
    <w:p w14:paraId="1B8D82D4">
      <w:pPr>
        <w:pStyle w:val="87"/>
        <w:numPr>
          <w:ilvl w:val="0"/>
          <w:numId w:val="22"/>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批量复制功能。</w:t>
      </w:r>
    </w:p>
    <w:p w14:paraId="0100A897">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5.3.2 基本编写功能</w:t>
      </w:r>
    </w:p>
    <w:p w14:paraId="58234038">
      <w:pPr>
        <w:pStyle w:val="87"/>
        <w:numPr>
          <w:ilvl w:val="0"/>
          <w:numId w:val="2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支持数据模块的基本编写操作，实现结构化数据的编制，同时，数据模块编辑时的复制、剪切、粘贴、撤消、重做等操作。</w:t>
      </w:r>
    </w:p>
    <w:p w14:paraId="5269870D">
      <w:pPr>
        <w:pStyle w:val="87"/>
        <w:numPr>
          <w:ilvl w:val="0"/>
          <w:numId w:val="2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支持自动解析SVG的热点，建立图形与文字内容的双向链接。</w:t>
      </w:r>
    </w:p>
    <w:p w14:paraId="53C54177">
      <w:pPr>
        <w:pStyle w:val="87"/>
        <w:numPr>
          <w:ilvl w:val="0"/>
          <w:numId w:val="2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支持建立数据模块、实体对象之间的链接。</w:t>
      </w:r>
    </w:p>
    <w:p w14:paraId="1B6E4E2C">
      <w:pPr>
        <w:pStyle w:val="87"/>
        <w:numPr>
          <w:ilvl w:val="0"/>
          <w:numId w:val="2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支持图形化公式编辑，自动将公式转换为图形，支持对公式进行更改。</w:t>
      </w:r>
    </w:p>
    <w:p w14:paraId="29D9A5D0">
      <w:pPr>
        <w:pStyle w:val="87"/>
        <w:numPr>
          <w:ilvl w:val="0"/>
          <w:numId w:val="23"/>
        </w:numPr>
        <w:ind w:firstLineChars="0"/>
        <w:rPr>
          <w:rFonts w:hint="eastAsia" w:ascii="宋体" w:hAnsi="宋体" w:eastAsia="宋体" w:cs="宋体"/>
          <w:color w:val="auto"/>
          <w:sz w:val="24"/>
          <w:szCs w:val="24"/>
          <w:highlight w:val="none"/>
        </w:rPr>
      </w:pPr>
      <w:bookmarkStart w:id="150" w:name="OLE_LINK10"/>
      <w:bookmarkStart w:id="151" w:name="OLE_LINK9"/>
      <w:r>
        <w:rPr>
          <w:rFonts w:hint="eastAsia" w:ascii="宋体" w:hAnsi="宋体" w:eastAsia="宋体" w:cs="宋体"/>
          <w:color w:val="auto"/>
          <w:sz w:val="24"/>
          <w:szCs w:val="24"/>
          <w:highlight w:val="none"/>
        </w:rPr>
        <w:t>支持段落、表格、图形等元素的ID</w:t>
      </w:r>
      <w:bookmarkEnd w:id="150"/>
      <w:bookmarkEnd w:id="151"/>
      <w:r>
        <w:rPr>
          <w:rFonts w:hint="eastAsia" w:ascii="宋体" w:hAnsi="宋体" w:eastAsia="宋体" w:cs="宋体"/>
          <w:color w:val="auto"/>
          <w:sz w:val="24"/>
          <w:szCs w:val="24"/>
          <w:highlight w:val="none"/>
        </w:rPr>
        <w:t>按照可配置的规则自动生成，并维护数据模块中内容的参引关系管理。</w:t>
      </w:r>
    </w:p>
    <w:p w14:paraId="7B16842D">
      <w:pPr>
        <w:pStyle w:val="87"/>
        <w:numPr>
          <w:ilvl w:val="0"/>
          <w:numId w:val="2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支持在编写时进行PDF、IETM预览。</w:t>
      </w:r>
    </w:p>
    <w:p w14:paraId="1B504FC0">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5.3.3 图形化编写功能</w:t>
      </w:r>
    </w:p>
    <w:p w14:paraId="731043DD">
      <w:pPr>
        <w:pStyle w:val="87"/>
        <w:numPr>
          <w:ilvl w:val="0"/>
          <w:numId w:val="2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支持程序类的工具、设备、耗材等的准备工作内容的表格形式录入。</w:t>
      </w:r>
    </w:p>
    <w:p w14:paraId="520865F0">
      <w:pPr>
        <w:pStyle w:val="87"/>
        <w:numPr>
          <w:ilvl w:val="0"/>
          <w:numId w:val="2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支持计划类技术内容的表格形式录入。</w:t>
      </w:r>
    </w:p>
    <w:p w14:paraId="273B98F5">
      <w:pPr>
        <w:pStyle w:val="87"/>
        <w:numPr>
          <w:ilvl w:val="0"/>
          <w:numId w:val="2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支持图解目录类零件清单的表格形式录入，支持以Excel形式导入图解零件目录。</w:t>
      </w:r>
    </w:p>
    <w:p w14:paraId="3467B0A4">
      <w:pPr>
        <w:pStyle w:val="87"/>
        <w:numPr>
          <w:ilvl w:val="0"/>
          <w:numId w:val="2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支持故障类的流程图形式录入。</w:t>
      </w:r>
    </w:p>
    <w:p w14:paraId="08F061EB">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5.3.4 批量复制功能</w:t>
      </w:r>
    </w:p>
    <w:p w14:paraId="08E91BC9">
      <w:pPr>
        <w:pStyle w:val="87"/>
        <w:numPr>
          <w:ilvl w:val="0"/>
          <w:numId w:val="2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支持从Microsoft Office Word 2003及以上版本文档中批量拷贝内容；</w:t>
      </w:r>
    </w:p>
    <w:p w14:paraId="71DBB653">
      <w:pPr>
        <w:pStyle w:val="87"/>
        <w:numPr>
          <w:ilvl w:val="0"/>
          <w:numId w:val="2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批量拷贝时，自动解析层级段落、段落、有序列表、无序列表、表格等内容，按当前数据模块类型，自动转换为结构化标签；</w:t>
      </w:r>
    </w:p>
    <w:p w14:paraId="14EE72DC">
      <w:pPr>
        <w:pStyle w:val="87"/>
        <w:numPr>
          <w:ilvl w:val="0"/>
          <w:numId w:val="2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批量拷贝时，自动解析和拷贝Word中的图片（包括Visio图），并通过图形化窗口设置图片ICN和进行数据模块中图片引用关系的自动更新。</w:t>
      </w:r>
    </w:p>
    <w:p w14:paraId="2CF0B804">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 内容管理</w:t>
      </w:r>
    </w:p>
    <w:p w14:paraId="29D03F3B">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型号项目的所有技术出版物数据都将在统一的数据库中进行存储，能够保证IETM系统统一管控这些技术数据，以满足装备的实际业务需要。</w:t>
      </w:r>
    </w:p>
    <w:p w14:paraId="46C5FCDF">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 顶层配置和规划</w:t>
      </w:r>
    </w:p>
    <w:p w14:paraId="58480742">
      <w:pPr>
        <w:pStyle w:val="87"/>
        <w:numPr>
          <w:ilvl w:val="0"/>
          <w:numId w:val="2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支持创建符合S1000D4.0.1、4.1、4.2、5.0和ATA2300标准的项目及进行编码规划。</w:t>
      </w:r>
    </w:p>
    <w:p w14:paraId="5E4B437F">
      <w:pPr>
        <w:pStyle w:val="87"/>
        <w:numPr>
          <w:ilvl w:val="0"/>
          <w:numId w:val="2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支持在同一项目中同时支持S1000D和ATA2300数据。</w:t>
      </w:r>
    </w:p>
    <w:p w14:paraId="471AA7BC">
      <w:pPr>
        <w:pStyle w:val="87"/>
        <w:numPr>
          <w:ilvl w:val="0"/>
          <w:numId w:val="2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支持按照自定义的工作流模型进行数据模块编写任务的批量分配。</w:t>
      </w:r>
    </w:p>
    <w:p w14:paraId="6D394C22">
      <w:pPr>
        <w:pStyle w:val="87"/>
        <w:numPr>
          <w:ilvl w:val="0"/>
          <w:numId w:val="2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新项目创建时，支持从已有项目重用所有配置信息和数据，如产品结构、信息码配置、数据模块清单、数据模块、图形等，并按照新项目自动转换编码以及所有相关的数据关联关系，以支持改型项目的快速创建。</w:t>
      </w:r>
    </w:p>
    <w:p w14:paraId="4A2AA9B0">
      <w:pPr>
        <w:pStyle w:val="87"/>
        <w:numPr>
          <w:ilvl w:val="0"/>
          <w:numId w:val="2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若新项目保持重用关系，参考项目数据模块变更时，根据业务需要更新新项目。</w:t>
      </w:r>
    </w:p>
    <w:p w14:paraId="6D0472DC">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5.4.2 数据模块清单（DMRL）管理</w:t>
      </w:r>
    </w:p>
    <w:p w14:paraId="4031105D">
      <w:pPr>
        <w:pStyle w:val="87"/>
        <w:numPr>
          <w:ilvl w:val="0"/>
          <w:numId w:val="27"/>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支持DMRL的版本管理以及状态管理。</w:t>
      </w:r>
    </w:p>
    <w:p w14:paraId="354D88B1">
      <w:pPr>
        <w:pStyle w:val="87"/>
        <w:numPr>
          <w:ilvl w:val="0"/>
          <w:numId w:val="27"/>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支持DMRL的流程管理，在编写、审核、校对、定稿等环节中，DMRL状态、版本能相应变更。</w:t>
      </w:r>
    </w:p>
    <w:p w14:paraId="2422FB03">
      <w:pPr>
        <w:pStyle w:val="87"/>
        <w:numPr>
          <w:ilvl w:val="0"/>
          <w:numId w:val="27"/>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支持DMRL与数据模块的关联管理，可通过刷新操作更新关联的数据模块版本信息。</w:t>
      </w:r>
    </w:p>
    <w:p w14:paraId="78313A44">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5.4.3 数据模块管理</w:t>
      </w:r>
    </w:p>
    <w:p w14:paraId="39C5158E">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支持数据模块的版本管理。在编写、审核、发布等操作时，数据模块状态、版本能相应变更。</w:t>
      </w:r>
    </w:p>
    <w:p w14:paraId="58D8B78F">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支持查询数据模块时，按照SNS、数据模块属性等条件进行过滤。</w:t>
      </w:r>
    </w:p>
    <w:p w14:paraId="0D06D406">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支持用户按照型号的手册内容要求自定义符合标准的数据模块模板。</w:t>
      </w:r>
    </w:p>
    <w:p w14:paraId="5A00B34F">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支持按客户业务流程配置数据的工作流模型。</w:t>
      </w:r>
    </w:p>
    <w:p w14:paraId="67EBC253">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支持工作流驱动下的编写、校对、审核任务的流转和流程信息记录追溯。</w:t>
      </w:r>
    </w:p>
    <w:p w14:paraId="5A8AE82E">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支持对基础数据如供应商、元素、属性、模板、样例等的管理。</w:t>
      </w:r>
    </w:p>
    <w:p w14:paraId="1DFA1A7C">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支持定义段落、表格、列表等可重用内容单元，可方便的查看可重用单元的被引用情况。</w:t>
      </w:r>
    </w:p>
    <w:p w14:paraId="1ED6BE7F">
      <w:pPr>
        <w:pStyle w:val="87"/>
        <w:numPr>
          <w:ilvl w:val="0"/>
          <w:numId w:val="28"/>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支持批量校验数据模块引用的实体、数据模块等是否都存在，确保数据完整性，并可生成校验结果报表。</w:t>
      </w:r>
    </w:p>
    <w:p w14:paraId="0C16C69E">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5.4.4 图形库管理</w:t>
      </w:r>
    </w:p>
    <w:p w14:paraId="3BE1DB86">
      <w:pPr>
        <w:pStyle w:val="87"/>
        <w:numPr>
          <w:ilvl w:val="0"/>
          <w:numId w:val="2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支持SVG、JPG等格式图形的统一管理。</w:t>
      </w:r>
    </w:p>
    <w:p w14:paraId="62AF6A2F">
      <w:pPr>
        <w:pStyle w:val="87"/>
        <w:numPr>
          <w:ilvl w:val="0"/>
          <w:numId w:val="2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支持各类音频、视频格式，包括MP3、MP4、AVI、WMV等后缀文件格式。</w:t>
      </w:r>
    </w:p>
    <w:p w14:paraId="7E898A5A">
      <w:pPr>
        <w:pStyle w:val="87"/>
        <w:numPr>
          <w:ilvl w:val="0"/>
          <w:numId w:val="2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支持HTML等无插件格式三维文件的统一管理。</w:t>
      </w:r>
    </w:p>
    <w:p w14:paraId="7D8D9381">
      <w:pPr>
        <w:pStyle w:val="87"/>
        <w:numPr>
          <w:ilvl w:val="0"/>
          <w:numId w:val="2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支持图形、多媒体、三维文件的上传、下载、预览。</w:t>
      </w:r>
    </w:p>
    <w:p w14:paraId="3B60C2F6">
      <w:pPr>
        <w:pStyle w:val="87"/>
        <w:numPr>
          <w:ilvl w:val="0"/>
          <w:numId w:val="2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支持查询图形、多媒体、三维文件被引用的情况。</w:t>
      </w:r>
    </w:p>
    <w:p w14:paraId="0A241E07">
      <w:pPr>
        <w:pStyle w:val="87"/>
        <w:numPr>
          <w:ilvl w:val="0"/>
          <w:numId w:val="2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支持实体版本管理，并支持在实体升版时，手动选择是否更新数据模块引用关系。</w:t>
      </w:r>
    </w:p>
    <w:p w14:paraId="26A0B109">
      <w:pPr>
        <w:pStyle w:val="87"/>
        <w:numPr>
          <w:ilvl w:val="0"/>
          <w:numId w:val="2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支持调整实体的类型，并自动更新引用该实体的数据模块信息。</w:t>
      </w:r>
    </w:p>
    <w:p w14:paraId="73183EAB">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5.4.5 数据重用管理</w:t>
      </w:r>
    </w:p>
    <w:p w14:paraId="04291086">
      <w:pPr>
        <w:pStyle w:val="87"/>
        <w:numPr>
          <w:ilvl w:val="0"/>
          <w:numId w:val="3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支持对型号数据的快速重用，可复制历史项目的产品结构、IC配置、数据模块、实体、引用关系等信息。</w:t>
      </w:r>
    </w:p>
    <w:p w14:paraId="366B9575">
      <w:pPr>
        <w:pStyle w:val="87"/>
        <w:numPr>
          <w:ilvl w:val="0"/>
          <w:numId w:val="30"/>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支持关联数据信息的查询、建立/断开关联、重用、变更通知等功能。</w:t>
      </w:r>
    </w:p>
    <w:p w14:paraId="58518CDC">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5.4.6 任务管理</w:t>
      </w:r>
    </w:p>
    <w:p w14:paraId="4B95A837">
      <w:pPr>
        <w:pStyle w:val="87"/>
        <w:numPr>
          <w:ilvl w:val="0"/>
          <w:numId w:val="3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支持按用户查看待办任务，并进行流程节点的批量处理。</w:t>
      </w:r>
    </w:p>
    <w:p w14:paraId="47632D15">
      <w:pPr>
        <w:pStyle w:val="87"/>
        <w:numPr>
          <w:ilvl w:val="0"/>
          <w:numId w:val="3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支持通过待办任务查看流程状态。</w:t>
      </w:r>
    </w:p>
    <w:p w14:paraId="2783C968">
      <w:pPr>
        <w:pStyle w:val="87"/>
        <w:numPr>
          <w:ilvl w:val="0"/>
          <w:numId w:val="3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支持以Excel形式导出报表中具体DM列表信息。</w:t>
      </w:r>
    </w:p>
    <w:p w14:paraId="05D25E98">
      <w:pPr>
        <w:pStyle w:val="299"/>
        <w:numPr>
          <w:ilvl w:val="3"/>
          <w:numId w:val="0"/>
        </w:numPr>
        <w:spacing w:before="156" w:after="156"/>
        <w:rPr>
          <w:rFonts w:hint="eastAsia" w:ascii="宋体" w:hAnsi="宋体" w:eastAsia="宋体" w:cs="宋体"/>
          <w:color w:val="auto"/>
          <w:sz w:val="24"/>
          <w:szCs w:val="24"/>
          <w:highlight w:val="none"/>
        </w:rPr>
      </w:pPr>
      <w:bookmarkStart w:id="152" w:name="OLE_LINK6"/>
      <w:r>
        <w:rPr>
          <w:rFonts w:hint="eastAsia" w:ascii="宋体" w:hAnsi="宋体" w:eastAsia="宋体" w:cs="宋体"/>
          <w:color w:val="auto"/>
          <w:sz w:val="24"/>
          <w:szCs w:val="24"/>
          <w:highlight w:val="none"/>
        </w:rPr>
        <w:t>5.4.7 数据包交换</w:t>
      </w:r>
    </w:p>
    <w:bookmarkEnd w:id="152"/>
    <w:p w14:paraId="7283AF74">
      <w:pPr>
        <w:pStyle w:val="87"/>
        <w:numPr>
          <w:ilvl w:val="0"/>
          <w:numId w:val="32"/>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支持第三方符合标准及项目业务规则的数据包的导入。</w:t>
      </w:r>
    </w:p>
    <w:p w14:paraId="40EEE4DC">
      <w:pPr>
        <w:pStyle w:val="87"/>
        <w:numPr>
          <w:ilvl w:val="0"/>
          <w:numId w:val="32"/>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支持发布符合业务规则的数据包，</w:t>
      </w:r>
    </w:p>
    <w:p w14:paraId="27CE9F2B">
      <w:pPr>
        <w:pStyle w:val="87"/>
        <w:numPr>
          <w:ilvl w:val="0"/>
          <w:numId w:val="32"/>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支持数据交换过程中数据包的完整性校验，并生成错误报表。</w:t>
      </w:r>
    </w:p>
    <w:p w14:paraId="75300AB8">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 内容交付</w:t>
      </w:r>
    </w:p>
    <w:p w14:paraId="4F18356C">
      <w:pPr>
        <w:pStyle w:val="87"/>
        <w:numPr>
          <w:ilvl w:val="0"/>
          <w:numId w:val="3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支持交付物（PDF、IETM数据包等）的上传、下载管理。</w:t>
      </w:r>
    </w:p>
    <w:p w14:paraId="6EC63E62">
      <w:pPr>
        <w:pStyle w:val="87"/>
        <w:numPr>
          <w:ilvl w:val="0"/>
          <w:numId w:val="3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支持交付物的分发记录和控制。</w:t>
      </w:r>
    </w:p>
    <w:p w14:paraId="465420C0">
      <w:pPr>
        <w:pStyle w:val="87"/>
        <w:numPr>
          <w:ilvl w:val="0"/>
          <w:numId w:val="3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支持交付物运行环境信息的记录。</w:t>
      </w:r>
    </w:p>
    <w:p w14:paraId="24793600">
      <w:pPr>
        <w:pStyle w:val="87"/>
        <w:numPr>
          <w:ilvl w:val="0"/>
          <w:numId w:val="33"/>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支持交付物的客户反馈信息管理。</w:t>
      </w:r>
    </w:p>
    <w:p w14:paraId="351682BE">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 内容发布管理</w:t>
      </w:r>
    </w:p>
    <w:p w14:paraId="570FB775">
      <w:pPr>
        <w:pStyle w:val="87"/>
        <w:numPr>
          <w:ilvl w:val="0"/>
          <w:numId w:val="3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支持出版物模块及手册结构的章节目录定义。</w:t>
      </w:r>
    </w:p>
    <w:p w14:paraId="277632AE">
      <w:pPr>
        <w:pStyle w:val="87"/>
        <w:numPr>
          <w:ilvl w:val="0"/>
          <w:numId w:val="3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支持将DMRL中的数据模块快速直接绑定出版物模块（PM），并设置发布规则（包括正文前资料等）。</w:t>
      </w:r>
    </w:p>
    <w:p w14:paraId="4A642BE0">
      <w:pPr>
        <w:pStyle w:val="87"/>
        <w:numPr>
          <w:ilvl w:val="0"/>
          <w:numId w:val="3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支持在发布前进行数据有效性验证。</w:t>
      </w:r>
    </w:p>
    <w:p w14:paraId="7D16A2BF">
      <w:pPr>
        <w:pStyle w:val="87"/>
        <w:numPr>
          <w:ilvl w:val="0"/>
          <w:numId w:val="3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支持各类手册的复杂样式的定义，能够生成PDF、IETP、WORD等格式。</w:t>
      </w:r>
    </w:p>
    <w:p w14:paraId="3BA2715D">
      <w:pPr>
        <w:pStyle w:val="87"/>
        <w:numPr>
          <w:ilvl w:val="0"/>
          <w:numId w:val="3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支持技术出版物的改版和换版管理。</w:t>
      </w:r>
    </w:p>
    <w:p w14:paraId="6A030545">
      <w:pPr>
        <w:pStyle w:val="87"/>
        <w:numPr>
          <w:ilvl w:val="0"/>
          <w:numId w:val="3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支持增量发布和全部发布，增量发布时，自动比较版本变化，发布增量内容。</w:t>
      </w:r>
    </w:p>
    <w:p w14:paraId="10EE079A">
      <w:pPr>
        <w:pStyle w:val="87"/>
        <w:numPr>
          <w:ilvl w:val="0"/>
          <w:numId w:val="3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支持客户化发布，根据客户、架次完成手册内容的自动过滤。</w:t>
      </w:r>
    </w:p>
    <w:p w14:paraId="61E3DB6B">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5.7 阅读管理</w:t>
      </w:r>
    </w:p>
    <w:p w14:paraId="35B0D6FE">
      <w:pPr>
        <w:pStyle w:val="87"/>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工具提供浏览器，支持编辑人员使用，浏览器要求如下：</w:t>
      </w:r>
    </w:p>
    <w:p w14:paraId="72021069">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支持GJB6600定义的基本功能、样式界面需求，具备单机、网络部署和PAD形式等多种部署能力，用于满足IETM各种应用场景；</w:t>
      </w:r>
    </w:p>
    <w:p w14:paraId="156DFF6D">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支持描述类正文前图、表目录的自动统计。</w:t>
      </w:r>
    </w:p>
    <w:p w14:paraId="37ECC8C6">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支持程序类警告、注意等安全条件内容的弹出式确认。</w:t>
      </w:r>
    </w:p>
    <w:p w14:paraId="11DF150C">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三维动画步骤与操作步骤文字的双向互动。</w:t>
      </w:r>
    </w:p>
    <w:p w14:paraId="36371AEB">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支持向导式故障排除程序并可自动生成故障隔离流程图。</w:t>
      </w:r>
    </w:p>
    <w:p w14:paraId="7B106DA1">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支持书签管理。</w:t>
      </w:r>
    </w:p>
    <w:p w14:paraId="404AA589">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支持内容的防拷贝。</w:t>
      </w:r>
    </w:p>
    <w:p w14:paraId="0ABD4FEA">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支持图形在内容正文中以缩略图形式显示。</w:t>
      </w:r>
    </w:p>
    <w:p w14:paraId="1BAF8101">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支持内容区域的文字放大、缩小。</w:t>
      </w:r>
    </w:p>
    <w:p w14:paraId="36F4B14C">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支持界面风格个性化配置及反色显示。</w:t>
      </w:r>
    </w:p>
    <w:p w14:paraId="64427158">
      <w:pPr>
        <w:pStyle w:val="87"/>
        <w:numPr>
          <w:ilvl w:val="0"/>
          <w:numId w:val="3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检索结果支持搜索结果清单显示形式（即在搜索结果中展现关键字以及关键字上下文内容）。</w:t>
      </w:r>
    </w:p>
    <w:p w14:paraId="59C90170">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 公司网站</w:t>
      </w:r>
    </w:p>
    <w:p w14:paraId="34606B0B">
      <w:pPr>
        <w:pStyle w:val="87"/>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方应支持对招标方公司网站的修改，便于产品用户通过我方公司官网适时调取维护、售后等各类资料。建设内容包含：首页、关于我们、新闻中心、品牌之窗、空管党建、信息公开、搜索查询、客户登录等，并同步完成后台管理设计，支持管理员更新维护网站内容和权限配置等。详细要求如下：</w:t>
      </w:r>
    </w:p>
    <w:p w14:paraId="1EF97F0B">
      <w:pPr>
        <w:pStyle w:val="299"/>
        <w:numPr>
          <w:ilvl w:val="3"/>
          <w:numId w:val="0"/>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5.8.1产品模块</w:t>
      </w:r>
    </w:p>
    <w:tbl>
      <w:tblPr>
        <w:tblStyle w:val="47"/>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15"/>
        <w:gridCol w:w="1230"/>
        <w:gridCol w:w="1196"/>
        <w:gridCol w:w="5501"/>
      </w:tblGrid>
      <w:tr w14:paraId="6C3C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715" w:type="dxa"/>
            <w:shd w:val="clear" w:color="auto" w:fill="4472C4"/>
            <w:vAlign w:val="center"/>
          </w:tcPr>
          <w:p w14:paraId="648B97D2">
            <w:pPr>
              <w:pStyle w:val="87"/>
              <w:keepNext/>
              <w:snapToGrid w:val="0"/>
              <w:spacing w:line="24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230" w:type="dxa"/>
            <w:shd w:val="clear" w:color="auto" w:fill="4472C4"/>
            <w:vAlign w:val="center"/>
          </w:tcPr>
          <w:p w14:paraId="5A4C306C">
            <w:pPr>
              <w:pStyle w:val="87"/>
              <w:keepNext/>
              <w:snapToGrid w:val="0"/>
              <w:spacing w:line="24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一级模块</w:t>
            </w:r>
          </w:p>
        </w:tc>
        <w:tc>
          <w:tcPr>
            <w:tcW w:w="1196" w:type="dxa"/>
            <w:shd w:val="clear" w:color="auto" w:fill="4472C4"/>
            <w:vAlign w:val="center"/>
          </w:tcPr>
          <w:p w14:paraId="37EA96F8">
            <w:pPr>
              <w:pStyle w:val="87"/>
              <w:keepNext/>
              <w:snapToGrid w:val="0"/>
              <w:spacing w:line="24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二级模块</w:t>
            </w:r>
          </w:p>
        </w:tc>
        <w:tc>
          <w:tcPr>
            <w:tcW w:w="5501" w:type="dxa"/>
            <w:shd w:val="clear" w:color="auto" w:fill="4472C4"/>
            <w:vAlign w:val="center"/>
          </w:tcPr>
          <w:p w14:paraId="3DAE8BF9">
            <w:pPr>
              <w:pStyle w:val="87"/>
              <w:keepNext/>
              <w:snapToGrid w:val="0"/>
              <w:spacing w:line="24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功能描述</w:t>
            </w:r>
          </w:p>
        </w:tc>
      </w:tr>
      <w:tr w14:paraId="4F0A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6EF271DF">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30" w:type="dxa"/>
            <w:vAlign w:val="center"/>
          </w:tcPr>
          <w:p w14:paraId="66077883">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首页</w:t>
            </w:r>
          </w:p>
        </w:tc>
        <w:tc>
          <w:tcPr>
            <w:tcW w:w="1196" w:type="dxa"/>
            <w:vAlign w:val="center"/>
          </w:tcPr>
          <w:p w14:paraId="47A72736">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501" w:type="dxa"/>
            <w:vAlign w:val="center"/>
          </w:tcPr>
          <w:p w14:paraId="7298127D">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展示banner宣传图、集团企业文化理念、最新新闻、信息公开及其他重要入口；子模块按钮固定在顶端显示，不受鼠标下拉影响</w:t>
            </w:r>
          </w:p>
        </w:tc>
      </w:tr>
      <w:tr w14:paraId="0D6E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55FB425A">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30" w:type="dxa"/>
            <w:vMerge w:val="restart"/>
            <w:vAlign w:val="center"/>
          </w:tcPr>
          <w:p w14:paraId="232D66CA">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关于我们</w:t>
            </w:r>
          </w:p>
        </w:tc>
        <w:tc>
          <w:tcPr>
            <w:tcW w:w="1196" w:type="dxa"/>
            <w:vAlign w:val="center"/>
          </w:tcPr>
          <w:p w14:paraId="1FCD2309">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公司概况</w:t>
            </w:r>
          </w:p>
        </w:tc>
        <w:tc>
          <w:tcPr>
            <w:tcW w:w="5501" w:type="dxa"/>
            <w:vAlign w:val="center"/>
          </w:tcPr>
          <w:p w14:paraId="1BC5C6F8">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图文（视频）形式介绍公司基本情况</w:t>
            </w:r>
          </w:p>
        </w:tc>
      </w:tr>
      <w:tr w14:paraId="122C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71F40A2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30" w:type="dxa"/>
            <w:vMerge w:val="continue"/>
            <w:vAlign w:val="center"/>
          </w:tcPr>
          <w:p w14:paraId="3A35BF0D">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3AEF2393">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组织架构</w:t>
            </w:r>
          </w:p>
        </w:tc>
        <w:tc>
          <w:tcPr>
            <w:tcW w:w="5501" w:type="dxa"/>
            <w:vAlign w:val="center"/>
          </w:tcPr>
          <w:p w14:paraId="03348DAE">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支持以文字、架构图等形式展示公司组织架构和管理体系</w:t>
            </w:r>
          </w:p>
        </w:tc>
      </w:tr>
      <w:tr w14:paraId="61F4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3DFF88F9">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30" w:type="dxa"/>
            <w:vMerge w:val="continue"/>
            <w:vAlign w:val="center"/>
          </w:tcPr>
          <w:p w14:paraId="0F368F3A">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3B216496">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荣誉资质</w:t>
            </w:r>
          </w:p>
        </w:tc>
        <w:tc>
          <w:tcPr>
            <w:tcW w:w="5501" w:type="dxa"/>
            <w:vAlign w:val="center"/>
          </w:tcPr>
          <w:p w14:paraId="0B1C9108">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图文（视频）形式介绍公司各项资质</w:t>
            </w:r>
          </w:p>
        </w:tc>
      </w:tr>
      <w:tr w14:paraId="3611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007BD49F">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230" w:type="dxa"/>
            <w:vMerge w:val="continue"/>
            <w:vAlign w:val="center"/>
          </w:tcPr>
          <w:p w14:paraId="29987E34">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5A2E4B56">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发展历程</w:t>
            </w:r>
          </w:p>
        </w:tc>
        <w:tc>
          <w:tcPr>
            <w:tcW w:w="5501" w:type="dxa"/>
            <w:vAlign w:val="center"/>
          </w:tcPr>
          <w:p w14:paraId="3D0CFB4C">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通过时间线、故事串联等形式，展示公司发展历程</w:t>
            </w:r>
          </w:p>
        </w:tc>
      </w:tr>
      <w:tr w14:paraId="79AA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51EB127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30" w:type="dxa"/>
            <w:vMerge w:val="restart"/>
            <w:vAlign w:val="center"/>
          </w:tcPr>
          <w:p w14:paraId="422F7AD4">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新闻中心</w:t>
            </w:r>
          </w:p>
        </w:tc>
        <w:tc>
          <w:tcPr>
            <w:tcW w:w="1196" w:type="dxa"/>
            <w:vAlign w:val="center"/>
          </w:tcPr>
          <w:p w14:paraId="3287E19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上级精神</w:t>
            </w:r>
          </w:p>
        </w:tc>
        <w:tc>
          <w:tcPr>
            <w:tcW w:w="5501" w:type="dxa"/>
            <w:vAlign w:val="center"/>
          </w:tcPr>
          <w:p w14:paraId="21E56D9D">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支持信息发布人员适时上传信息。新闻标题显示完整，新闻封面图片自动拉伸、完整显示。</w:t>
            </w:r>
          </w:p>
        </w:tc>
      </w:tr>
      <w:tr w14:paraId="226CB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2EB11E84">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230" w:type="dxa"/>
            <w:vMerge w:val="continue"/>
            <w:vAlign w:val="center"/>
          </w:tcPr>
          <w:p w14:paraId="5BEC6F37">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187372D7">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公司动态</w:t>
            </w:r>
          </w:p>
        </w:tc>
        <w:tc>
          <w:tcPr>
            <w:tcW w:w="5501" w:type="dxa"/>
            <w:vAlign w:val="center"/>
          </w:tcPr>
          <w:p w14:paraId="20095E20">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支持信息发布人员适时上传信息。新闻标题显示完整，新闻封面图片自动拉伸、完整显示。</w:t>
            </w:r>
          </w:p>
        </w:tc>
      </w:tr>
      <w:tr w14:paraId="63EC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3FDDE766">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230" w:type="dxa"/>
            <w:vMerge w:val="restart"/>
            <w:vAlign w:val="center"/>
          </w:tcPr>
          <w:p w14:paraId="3F0306A0">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空管党建</w:t>
            </w:r>
          </w:p>
        </w:tc>
        <w:tc>
          <w:tcPr>
            <w:tcW w:w="1196" w:type="dxa"/>
            <w:vAlign w:val="center"/>
          </w:tcPr>
          <w:p w14:paraId="72220868">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党建动态</w:t>
            </w:r>
          </w:p>
        </w:tc>
        <w:tc>
          <w:tcPr>
            <w:tcW w:w="5501" w:type="dxa"/>
            <w:vAlign w:val="center"/>
          </w:tcPr>
          <w:p w14:paraId="1EA96748">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以图文（视频）形式展示空管党建活动</w:t>
            </w:r>
          </w:p>
        </w:tc>
      </w:tr>
      <w:tr w14:paraId="6560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70982EDC">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230" w:type="dxa"/>
            <w:vMerge w:val="continue"/>
            <w:vAlign w:val="center"/>
          </w:tcPr>
          <w:p w14:paraId="194AA416">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5F85A4B3">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学习园地</w:t>
            </w:r>
          </w:p>
        </w:tc>
        <w:tc>
          <w:tcPr>
            <w:tcW w:w="5501" w:type="dxa"/>
            <w:vAlign w:val="center"/>
          </w:tcPr>
          <w:p w14:paraId="250C5686">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以图文（视频）形式展示中央省市及集团党委精神要求</w:t>
            </w:r>
          </w:p>
        </w:tc>
      </w:tr>
      <w:tr w14:paraId="4C7C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3176EB95">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230" w:type="dxa"/>
            <w:vMerge w:val="restart"/>
            <w:vAlign w:val="center"/>
          </w:tcPr>
          <w:p w14:paraId="3A387A89">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人力资源</w:t>
            </w:r>
          </w:p>
        </w:tc>
        <w:tc>
          <w:tcPr>
            <w:tcW w:w="1196" w:type="dxa"/>
            <w:vAlign w:val="center"/>
          </w:tcPr>
          <w:p w14:paraId="23C1B795">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人才理念</w:t>
            </w:r>
          </w:p>
        </w:tc>
        <w:tc>
          <w:tcPr>
            <w:tcW w:w="5501" w:type="dxa"/>
            <w:vAlign w:val="center"/>
          </w:tcPr>
          <w:p w14:paraId="59AC927D">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通过薪酬福利、员工培训、职业生涯发展、人才观等方面，展示空管对人才的培养和重视</w:t>
            </w:r>
          </w:p>
        </w:tc>
      </w:tr>
      <w:tr w14:paraId="637F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65A83864">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230" w:type="dxa"/>
            <w:vMerge w:val="continue"/>
            <w:vAlign w:val="center"/>
          </w:tcPr>
          <w:p w14:paraId="01884B9E">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64C9A677">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人才建设</w:t>
            </w:r>
          </w:p>
        </w:tc>
        <w:tc>
          <w:tcPr>
            <w:tcW w:w="5501" w:type="dxa"/>
            <w:vAlign w:val="center"/>
          </w:tcPr>
          <w:p w14:paraId="27041AAB">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以图文（视频）形式展示空管关于人才培养的体系和新机制</w:t>
            </w:r>
          </w:p>
        </w:tc>
      </w:tr>
      <w:tr w14:paraId="3951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3C97B908">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230" w:type="dxa"/>
            <w:vMerge w:val="continue"/>
            <w:vAlign w:val="center"/>
          </w:tcPr>
          <w:p w14:paraId="23A24651">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2370662C">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人才招聘</w:t>
            </w:r>
          </w:p>
        </w:tc>
        <w:tc>
          <w:tcPr>
            <w:tcW w:w="5501" w:type="dxa"/>
            <w:vAlign w:val="center"/>
          </w:tcPr>
          <w:p w14:paraId="2A0C6A2C">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通过社招、校招、实习生招聘三个渠道，求职者能实现对心仪城市、公司、岗位的查询、选择以及简历投递</w:t>
            </w:r>
          </w:p>
        </w:tc>
      </w:tr>
      <w:tr w14:paraId="7CC3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13F32625">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230" w:type="dxa"/>
            <w:vMerge w:val="restart"/>
            <w:vAlign w:val="center"/>
          </w:tcPr>
          <w:p w14:paraId="2C436D52">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信息公开</w:t>
            </w:r>
          </w:p>
        </w:tc>
        <w:tc>
          <w:tcPr>
            <w:tcW w:w="1196" w:type="dxa"/>
            <w:vAlign w:val="center"/>
          </w:tcPr>
          <w:p w14:paraId="31C5B789">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重大事项</w:t>
            </w:r>
          </w:p>
        </w:tc>
        <w:tc>
          <w:tcPr>
            <w:tcW w:w="5501" w:type="dxa"/>
            <w:vAlign w:val="center"/>
          </w:tcPr>
          <w:p w14:paraId="091EC6F5">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公开市属企业工资分配信息、市属企业负责人薪酬信息披露等重大事项</w:t>
            </w:r>
          </w:p>
        </w:tc>
      </w:tr>
      <w:tr w14:paraId="0BFA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6ED564F4">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230" w:type="dxa"/>
            <w:vMerge w:val="continue"/>
            <w:vAlign w:val="center"/>
          </w:tcPr>
          <w:p w14:paraId="0B8EE00D">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03360C7F">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人事用工</w:t>
            </w:r>
          </w:p>
        </w:tc>
        <w:tc>
          <w:tcPr>
            <w:tcW w:w="5501" w:type="dxa"/>
            <w:vAlign w:val="center"/>
          </w:tcPr>
          <w:p w14:paraId="4B8A1956">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公开招聘公告、招聘成绩公示、拟录用人员公示、终止招聘公告等信息，吸引优秀人才加入企业，为企业的发展提供人力资源支持。</w:t>
            </w:r>
          </w:p>
        </w:tc>
      </w:tr>
      <w:tr w14:paraId="21CF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30269AA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230" w:type="dxa"/>
            <w:vMerge w:val="continue"/>
            <w:vAlign w:val="center"/>
          </w:tcPr>
          <w:p w14:paraId="540706A0">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2C9616CC">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采购事项</w:t>
            </w:r>
          </w:p>
        </w:tc>
        <w:tc>
          <w:tcPr>
            <w:tcW w:w="5501" w:type="dxa"/>
            <w:vAlign w:val="center"/>
          </w:tcPr>
          <w:p w14:paraId="14F54E74">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公开招标(采购)计划公告、招标(采购)公告，流标公告、中标(选)候选人公示、中标(选)结果公示等信息。支持在线展示与下载采购文件。</w:t>
            </w:r>
          </w:p>
        </w:tc>
      </w:tr>
      <w:tr w14:paraId="5A5F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2E1855CB">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1230" w:type="dxa"/>
            <w:vMerge w:val="continue"/>
            <w:vAlign w:val="center"/>
          </w:tcPr>
          <w:p w14:paraId="76A02AEE">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799BD2A9">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资产处置</w:t>
            </w:r>
          </w:p>
        </w:tc>
        <w:tc>
          <w:tcPr>
            <w:tcW w:w="5501" w:type="dxa"/>
            <w:vAlign w:val="center"/>
          </w:tcPr>
          <w:p w14:paraId="69ED944E">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公开资产处置公告、处置结果公示、出租公告、出租结果公示等信息。展示待处置资产（如机械设备、电子设备、废料废品等）详细信息，制定资产处置价格、确定意向受让方资质条件，发布处置公告并提供报名预约查看渠道，规范处置流程（含现场查看、竞价、签订合同、款项支付、物资清运等环节），公示处置结果及提供处置过程中的咨询与沟通服务 </w:t>
            </w:r>
          </w:p>
        </w:tc>
      </w:tr>
      <w:tr w14:paraId="0AE9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16CDD46F">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1230" w:type="dxa"/>
            <w:vMerge w:val="continue"/>
            <w:vAlign w:val="center"/>
          </w:tcPr>
          <w:p w14:paraId="715B6855">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5ABE860E">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企业增资</w:t>
            </w:r>
          </w:p>
        </w:tc>
        <w:tc>
          <w:tcPr>
            <w:tcW w:w="5501" w:type="dxa"/>
            <w:vAlign w:val="center"/>
          </w:tcPr>
          <w:p w14:paraId="5A29A69E">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展示企业发布的增资扩股公告及相关文件</w:t>
            </w:r>
          </w:p>
        </w:tc>
      </w:tr>
      <w:tr w14:paraId="4DEE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4B0D4FA5">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230" w:type="dxa"/>
            <w:vMerge w:val="continue"/>
            <w:vAlign w:val="center"/>
          </w:tcPr>
          <w:p w14:paraId="58B557A3">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3FEFFB3B">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产权转让</w:t>
            </w:r>
          </w:p>
        </w:tc>
        <w:tc>
          <w:tcPr>
            <w:tcW w:w="5501" w:type="dxa"/>
            <w:vAlign w:val="center"/>
          </w:tcPr>
          <w:p w14:paraId="7485D94D">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展示待转让产权（股权、实物资产产权等）等信息</w:t>
            </w:r>
          </w:p>
        </w:tc>
      </w:tr>
      <w:tr w14:paraId="6F93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4C2ADA14">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1230" w:type="dxa"/>
            <w:vMerge w:val="continue"/>
            <w:vAlign w:val="center"/>
          </w:tcPr>
          <w:p w14:paraId="22FD09FC">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6074BE6B">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其他事项</w:t>
            </w:r>
          </w:p>
        </w:tc>
        <w:tc>
          <w:tcPr>
            <w:tcW w:w="5501" w:type="dxa"/>
            <w:vAlign w:val="center"/>
          </w:tcPr>
          <w:p w14:paraId="79B9FFB6">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支持其他类事项的信息公开</w:t>
            </w:r>
          </w:p>
        </w:tc>
      </w:tr>
      <w:tr w14:paraId="2E6C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15D59E49">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1230" w:type="dxa"/>
            <w:vMerge w:val="restart"/>
            <w:vAlign w:val="center"/>
          </w:tcPr>
          <w:p w14:paraId="3F26055A">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品牌之窗</w:t>
            </w:r>
          </w:p>
        </w:tc>
        <w:tc>
          <w:tcPr>
            <w:tcW w:w="1196" w:type="dxa"/>
            <w:vAlign w:val="center"/>
          </w:tcPr>
          <w:p w14:paraId="30A81554">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产品图集</w:t>
            </w:r>
          </w:p>
        </w:tc>
        <w:tc>
          <w:tcPr>
            <w:tcW w:w="5501" w:type="dxa"/>
            <w:vAlign w:val="center"/>
          </w:tcPr>
          <w:p w14:paraId="3B4703DE">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以图文形式空管优秀产品、参数、功能信息</w:t>
            </w:r>
          </w:p>
        </w:tc>
      </w:tr>
      <w:tr w14:paraId="318D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08D3E80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1230" w:type="dxa"/>
            <w:vMerge w:val="continue"/>
            <w:vAlign w:val="center"/>
          </w:tcPr>
          <w:p w14:paraId="447845E1">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551DA89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产品手册</w:t>
            </w:r>
          </w:p>
        </w:tc>
        <w:tc>
          <w:tcPr>
            <w:tcW w:w="5501" w:type="dxa"/>
            <w:vAlign w:val="center"/>
          </w:tcPr>
          <w:p w14:paraId="6DD8CF17">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支持以扫码等形式，让用户了解产品与解决方案手册</w:t>
            </w:r>
          </w:p>
        </w:tc>
      </w:tr>
      <w:tr w14:paraId="7411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1E9A18CA">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230" w:type="dxa"/>
            <w:vAlign w:val="center"/>
          </w:tcPr>
          <w:p w14:paraId="18B5C2EB">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AI助手搜索查询</w:t>
            </w:r>
          </w:p>
        </w:tc>
        <w:tc>
          <w:tcPr>
            <w:tcW w:w="1196" w:type="dxa"/>
            <w:vAlign w:val="center"/>
          </w:tcPr>
          <w:p w14:paraId="10037A6E">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501" w:type="dxa"/>
            <w:vAlign w:val="center"/>
          </w:tcPr>
          <w:p w14:paraId="707C8541">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1、支持全局搜索，通过解决方案及产品关键词进行搜索查询。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2、优化网站结构和内容，提高在搜索引擎中的可见性，吸引更多自然流量。</w:t>
            </w:r>
          </w:p>
        </w:tc>
      </w:tr>
      <w:tr w14:paraId="5F66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4DBCF64F">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1230" w:type="dxa"/>
            <w:vAlign w:val="center"/>
          </w:tcPr>
          <w:p w14:paraId="65421D13">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联系我们</w:t>
            </w:r>
          </w:p>
        </w:tc>
        <w:tc>
          <w:tcPr>
            <w:tcW w:w="1196" w:type="dxa"/>
            <w:vAlign w:val="center"/>
          </w:tcPr>
          <w:p w14:paraId="34623CB7">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501" w:type="dxa"/>
            <w:vAlign w:val="center"/>
          </w:tcPr>
          <w:p w14:paraId="37C01804">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提供市场人员电话，支持用户提交咨询内容，后台进行记录，以便联系。</w:t>
            </w:r>
          </w:p>
        </w:tc>
      </w:tr>
      <w:tr w14:paraId="133A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6B3EE8F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1230" w:type="dxa"/>
            <w:vMerge w:val="restart"/>
            <w:vAlign w:val="center"/>
          </w:tcPr>
          <w:p w14:paraId="677B769C">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后台管理</w:t>
            </w:r>
          </w:p>
        </w:tc>
        <w:tc>
          <w:tcPr>
            <w:tcW w:w="1196" w:type="dxa"/>
            <w:vAlign w:val="center"/>
          </w:tcPr>
          <w:p w14:paraId="068231B1">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客户登录系统</w:t>
            </w:r>
          </w:p>
        </w:tc>
        <w:tc>
          <w:tcPr>
            <w:tcW w:w="5501" w:type="dxa"/>
            <w:vAlign w:val="center"/>
          </w:tcPr>
          <w:p w14:paraId="4BB8FFCF">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实现业务部门为不同客户通过独立权限登陆下载对应业务板块资料。</w:t>
            </w:r>
          </w:p>
        </w:tc>
      </w:tr>
      <w:tr w14:paraId="493F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4600524A">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1230" w:type="dxa"/>
            <w:vMerge w:val="continue"/>
            <w:vAlign w:val="center"/>
          </w:tcPr>
          <w:p w14:paraId="1561B2A2">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600EAAD8">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数据分析</w:t>
            </w:r>
          </w:p>
        </w:tc>
        <w:tc>
          <w:tcPr>
            <w:tcW w:w="5501" w:type="dxa"/>
            <w:vAlign w:val="center"/>
          </w:tcPr>
          <w:p w14:paraId="2DBD10F0">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通过折线图、柱状图、热力图等图表形式展示内容分析（包含单个文章阅读量、板块阅读量、浏览人数等）、用户分析（地域、访问设备）等统计信息</w:t>
            </w:r>
          </w:p>
        </w:tc>
      </w:tr>
      <w:tr w14:paraId="602D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270352E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230" w:type="dxa"/>
            <w:vMerge w:val="continue"/>
            <w:vAlign w:val="center"/>
          </w:tcPr>
          <w:p w14:paraId="458F7461">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2B7083A2">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栏目管理</w:t>
            </w:r>
          </w:p>
        </w:tc>
        <w:tc>
          <w:tcPr>
            <w:tcW w:w="5501" w:type="dxa"/>
            <w:vAlign w:val="center"/>
          </w:tcPr>
          <w:p w14:paraId="1676A1E4">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对官网的各个页面进行设计和布局管理，包括首页、关于我们、品牌之窗等页面的编辑，可添加、修改页面元素，如栏目名称、栏目图片等。</w:t>
            </w:r>
          </w:p>
        </w:tc>
      </w:tr>
      <w:tr w14:paraId="6509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46AD15AA">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1230" w:type="dxa"/>
            <w:vMerge w:val="continue"/>
            <w:vAlign w:val="center"/>
          </w:tcPr>
          <w:p w14:paraId="7924EF0D">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18F3ACD4">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内容管理</w:t>
            </w:r>
          </w:p>
        </w:tc>
        <w:tc>
          <w:tcPr>
            <w:tcW w:w="5501" w:type="dxa"/>
            <w:vAlign w:val="center"/>
          </w:tcPr>
          <w:p w14:paraId="5739F218">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实现文章的发布、编辑、删除、分类等操作，支持对文章的标题、摘要、正文、图片、附件等内容进行管理，同时可以设置文章的发布时间、推荐位、关键词等属性。支持从微信公众号自动获取文章并发布。</w:t>
            </w:r>
          </w:p>
        </w:tc>
      </w:tr>
      <w:tr w14:paraId="5200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330B4D4E">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1230" w:type="dxa"/>
            <w:vMerge w:val="continue"/>
            <w:vAlign w:val="center"/>
          </w:tcPr>
          <w:p w14:paraId="53A16B92">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72A8AFC1">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角色管理</w:t>
            </w:r>
          </w:p>
        </w:tc>
        <w:tc>
          <w:tcPr>
            <w:tcW w:w="5501" w:type="dxa"/>
            <w:vAlign w:val="center"/>
          </w:tcPr>
          <w:p w14:paraId="4C6B78A6">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设置不同用户角色及其对应的操作权限，如管理员、编辑、普通用户等角色，分别赋予其不同的菜单访问权限、数据操作权限等。</w:t>
            </w:r>
          </w:p>
        </w:tc>
      </w:tr>
      <w:tr w14:paraId="5FB5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6F343FF1">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1230" w:type="dxa"/>
            <w:vMerge w:val="continue"/>
            <w:vAlign w:val="center"/>
          </w:tcPr>
          <w:p w14:paraId="4285F1EB">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279E9778">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菜单管理</w:t>
            </w:r>
          </w:p>
        </w:tc>
        <w:tc>
          <w:tcPr>
            <w:tcW w:w="5501" w:type="dxa"/>
            <w:vAlign w:val="center"/>
          </w:tcPr>
          <w:p w14:paraId="0A259AEF">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支持创建、编辑、删除网站后台及前端展示的菜单条目，将菜单与用户角色绑定，实现细粒度的权限控制</w:t>
            </w:r>
          </w:p>
        </w:tc>
      </w:tr>
      <w:tr w14:paraId="6A43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4D8E5068">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1230" w:type="dxa"/>
            <w:vMerge w:val="continue"/>
            <w:vAlign w:val="center"/>
          </w:tcPr>
          <w:p w14:paraId="67AF7B92">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52248F6B">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参数设置</w:t>
            </w:r>
          </w:p>
        </w:tc>
        <w:tc>
          <w:tcPr>
            <w:tcW w:w="5501" w:type="dxa"/>
            <w:vAlign w:val="center"/>
          </w:tcPr>
          <w:p w14:paraId="5F9ECD9E">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可动态设置参数值，无需修改代码即可生效</w:t>
            </w:r>
          </w:p>
        </w:tc>
      </w:tr>
      <w:tr w14:paraId="32C6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28670A95">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1230" w:type="dxa"/>
            <w:vMerge w:val="continue"/>
            <w:vAlign w:val="center"/>
          </w:tcPr>
          <w:p w14:paraId="140DC242">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6EE2266E">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通知公告</w:t>
            </w:r>
          </w:p>
        </w:tc>
        <w:tc>
          <w:tcPr>
            <w:tcW w:w="5501" w:type="dxa"/>
            <w:vAlign w:val="center"/>
          </w:tcPr>
          <w:p w14:paraId="74E93C99">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支持发布后台通知（如系统升级提醒、政策变更）和前端公告（如活动通知、重要新闻）</w:t>
            </w:r>
          </w:p>
        </w:tc>
      </w:tr>
      <w:tr w14:paraId="3470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0C53AB76">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p>
        </w:tc>
        <w:tc>
          <w:tcPr>
            <w:tcW w:w="1230" w:type="dxa"/>
            <w:vMerge w:val="continue"/>
            <w:vAlign w:val="center"/>
          </w:tcPr>
          <w:p w14:paraId="00E57D60">
            <w:pPr>
              <w:pStyle w:val="87"/>
              <w:keepNext/>
              <w:snapToGrid w:val="0"/>
              <w:spacing w:line="240" w:lineRule="auto"/>
              <w:ind w:firstLine="0" w:firstLineChars="0"/>
              <w:rPr>
                <w:rFonts w:hint="eastAsia" w:ascii="宋体" w:hAnsi="宋体" w:eastAsia="宋体" w:cs="宋体"/>
                <w:color w:val="auto"/>
                <w:sz w:val="24"/>
                <w:szCs w:val="24"/>
                <w:highlight w:val="none"/>
              </w:rPr>
            </w:pPr>
          </w:p>
        </w:tc>
        <w:tc>
          <w:tcPr>
            <w:tcW w:w="1196" w:type="dxa"/>
            <w:vAlign w:val="center"/>
          </w:tcPr>
          <w:p w14:paraId="7F07857E">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日志管理</w:t>
            </w:r>
          </w:p>
        </w:tc>
        <w:tc>
          <w:tcPr>
            <w:tcW w:w="5501" w:type="dxa"/>
            <w:vAlign w:val="center"/>
          </w:tcPr>
          <w:p w14:paraId="5E9926C3">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包含操作日志和登录日志，记录后台用户的所有操作：登录 / 登出、数据修改、菜单访问、文件上传等</w:t>
            </w:r>
          </w:p>
        </w:tc>
      </w:tr>
      <w:tr w14:paraId="33AA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6C2B6511">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p>
        </w:tc>
        <w:tc>
          <w:tcPr>
            <w:tcW w:w="1230" w:type="dxa"/>
            <w:vAlign w:val="center"/>
          </w:tcPr>
          <w:p w14:paraId="57D12C98">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多端适配</w:t>
            </w:r>
          </w:p>
        </w:tc>
        <w:tc>
          <w:tcPr>
            <w:tcW w:w="1196" w:type="dxa"/>
            <w:vAlign w:val="center"/>
          </w:tcPr>
          <w:p w14:paraId="0EA8A0F5">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501" w:type="dxa"/>
            <w:vAlign w:val="center"/>
          </w:tcPr>
          <w:p w14:paraId="76339365">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为满足用户多元化浏览习惯，支持电脑、平板、手机等多端适配</w:t>
            </w:r>
          </w:p>
        </w:tc>
      </w:tr>
      <w:tr w14:paraId="4A8C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15" w:type="dxa"/>
            <w:vAlign w:val="center"/>
          </w:tcPr>
          <w:p w14:paraId="2D094F83">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w:t>
            </w:r>
          </w:p>
        </w:tc>
        <w:tc>
          <w:tcPr>
            <w:tcW w:w="1230" w:type="dxa"/>
            <w:vAlign w:val="center"/>
          </w:tcPr>
          <w:p w14:paraId="593C3000">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渗透测试</w:t>
            </w:r>
          </w:p>
        </w:tc>
        <w:tc>
          <w:tcPr>
            <w:tcW w:w="1196" w:type="dxa"/>
            <w:vAlign w:val="center"/>
          </w:tcPr>
          <w:p w14:paraId="750A60EA">
            <w:pPr>
              <w:pStyle w:val="87"/>
              <w:keepNext/>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501" w:type="dxa"/>
            <w:vAlign w:val="center"/>
          </w:tcPr>
          <w:p w14:paraId="2A34E6F2">
            <w:pPr>
              <w:pStyle w:val="87"/>
              <w:keepNext/>
              <w:snapToGrid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第三方机构进行渗透测试，按照要求修复漏洞</w:t>
            </w:r>
          </w:p>
        </w:tc>
      </w:tr>
    </w:tbl>
    <w:p w14:paraId="2EDF54A3">
      <w:pPr>
        <w:pStyle w:val="299"/>
        <w:numPr>
          <w:ilvl w:val="3"/>
          <w:numId w:val="0"/>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5.8.2  </w:t>
      </w:r>
      <w:r>
        <w:rPr>
          <w:rFonts w:hint="eastAsia" w:ascii="宋体" w:hAnsi="宋体" w:eastAsia="宋体" w:cs="宋体"/>
          <w:color w:val="auto"/>
          <w:sz w:val="24"/>
          <w:szCs w:val="24"/>
          <w:highlight w:val="none"/>
          <w:lang w:eastAsia="zh"/>
        </w:rPr>
        <w:t>UI/UE设计</w:t>
      </w:r>
    </w:p>
    <w:p w14:paraId="48BECC8D">
      <w:pPr>
        <w:pStyle w:val="87"/>
        <w:ind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总体设计原则要满足品牌一致性、用户体验等核心目标；UI设计（带交互效果）、各板块背景图设计及维护（含版权保护）</w:t>
      </w:r>
      <w:r>
        <w:rPr>
          <w:rFonts w:hint="eastAsia" w:ascii="宋体" w:hAnsi="宋体" w:eastAsia="宋体" w:cs="宋体"/>
          <w:color w:val="auto"/>
          <w:sz w:val="24"/>
          <w:szCs w:val="24"/>
          <w:highlight w:val="none"/>
          <w:lang w:eastAsia="zh-CN"/>
        </w:rPr>
        <w:t>。要求设计风格符合</w:t>
      </w:r>
      <w:r>
        <w:rPr>
          <w:rFonts w:hint="eastAsia" w:ascii="宋体" w:hAnsi="宋体" w:eastAsia="宋体" w:cs="宋体"/>
          <w:color w:val="auto"/>
          <w:sz w:val="24"/>
          <w:szCs w:val="24"/>
          <w:highlight w:val="none"/>
        </w:rPr>
        <w:t>2025 年互联网/智能设备/电子信息等企业领域主流设计趋势</w:t>
      </w:r>
      <w:r>
        <w:rPr>
          <w:rFonts w:hint="eastAsia" w:ascii="宋体" w:hAnsi="宋体" w:eastAsia="宋体" w:cs="宋体"/>
          <w:color w:val="auto"/>
          <w:sz w:val="24"/>
          <w:szCs w:val="24"/>
          <w:highlight w:val="none"/>
          <w:lang w:eastAsia="zh-CN"/>
        </w:rPr>
        <w:t>。</w:t>
      </w:r>
    </w:p>
    <w:p w14:paraId="5ABA272C">
      <w:pPr>
        <w:pStyle w:val="87"/>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需输出视觉设计规范（包括色彩、字体、视觉组件等），交互设计要求、视觉还原度与设计稿对比需≥98%</w:t>
      </w:r>
      <w:r>
        <w:rPr>
          <w:rFonts w:hint="eastAsia" w:ascii="宋体" w:hAnsi="宋体" w:eastAsia="宋体" w:cs="宋体"/>
          <w:color w:val="auto"/>
          <w:sz w:val="24"/>
          <w:szCs w:val="24"/>
          <w:highlight w:val="none"/>
          <w:lang w:eastAsia="zh-CN"/>
        </w:rPr>
        <w:t>。设计风格需贴合九洲集团</w:t>
      </w:r>
      <w:r>
        <w:rPr>
          <w:rFonts w:hint="eastAsia" w:ascii="宋体" w:hAnsi="宋体" w:eastAsia="宋体" w:cs="宋体"/>
          <w:color w:val="auto"/>
          <w:sz w:val="24"/>
          <w:szCs w:val="24"/>
          <w:highlight w:val="none"/>
        </w:rPr>
        <w:t xml:space="preserve"> VI 系统。</w:t>
      </w:r>
    </w:p>
    <w:p w14:paraId="327D96AE">
      <w:pPr>
        <w:pStyle w:val="87"/>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用户体验核心目标需满足首屏加载时间≤2 秒，整体页面跳出率≤15%，核心业务流程（如产品查询、在线咨询）操作步骤≤3 步。遵循 “以用户为中心” 原则，确保不同角色用户（投资者、客户、求职者）能在 30 秒内找到目标功能入口。</w:t>
      </w:r>
    </w:p>
    <w:p w14:paraId="170A66EF">
      <w:pPr>
        <w:pStyle w:val="87"/>
        <w:ind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服务器端字体优先使用国产字体，确保页面加载时字体调用无异常；客户端显示适配</w:t>
      </w:r>
      <w:r>
        <w:rPr>
          <w:rFonts w:hint="eastAsia" w:ascii="宋体" w:hAnsi="宋体" w:eastAsia="宋体" w:cs="宋体"/>
          <w:color w:val="auto"/>
          <w:sz w:val="24"/>
          <w:szCs w:val="24"/>
          <w:highlight w:val="none"/>
        </w:rPr>
        <w:t>windows系统、麒麟系统等的字体渲染规则；</w:t>
      </w:r>
      <w:r>
        <w:rPr>
          <w:rFonts w:hint="eastAsia" w:ascii="宋体" w:hAnsi="宋体" w:eastAsia="宋体" w:cs="宋体"/>
          <w:color w:val="auto"/>
          <w:sz w:val="24"/>
          <w:szCs w:val="24"/>
          <w:highlight w:val="none"/>
          <w:lang w:eastAsia="zh-CN"/>
        </w:rPr>
        <w:t>按钮组件需在鸿蒙、安卓等国产移动系统上交互流畅；导航组件：顶部导航栏固定定位，滚动时透明度变化动效，下拉菜单响应时间≤0.2 秒。</w:t>
      </w:r>
    </w:p>
    <w:p w14:paraId="051B8A83">
      <w:pPr>
        <w:pStyle w:val="87"/>
        <w:ind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核心交互流程产品查询需支持关键词搜索、分类筛选（多级下拉），搜索结果加载动画时长≤0.5 秒，无数据时显示定制化空状态页面；在线留言提交前自动校验（手机号、邮箱格式等），提交成功后弹出模态框提示，数据同步至后台时长≤1 秒；微交互的按钮点击、卡片悬停、页面切换等场景需包含过渡动效，动效帧率≥60fps，在国产硬件上无卡顿。</w:t>
      </w:r>
    </w:p>
    <w:p w14:paraId="0F553FB5">
      <w:pPr>
        <w:pStyle w:val="87"/>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特别说明：以上产品模块功能及设计要求以调研后蓝图设计为准。</w:t>
      </w:r>
    </w:p>
    <w:p w14:paraId="418A18E2">
      <w:pPr>
        <w:pStyle w:val="246"/>
        <w:numPr>
          <w:ilvl w:val="1"/>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数据要求</w:t>
      </w:r>
    </w:p>
    <w:p w14:paraId="192B8311">
      <w:pPr>
        <w:pStyle w:val="87"/>
        <w:numPr>
          <w:ilvl w:val="0"/>
          <w:numId w:val="0"/>
        </w:numPr>
        <w:ind w:left="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文件编制工具的数据要求为：</w:t>
      </w:r>
    </w:p>
    <w:p w14:paraId="51E1248E">
      <w:pPr>
        <w:pStyle w:val="87"/>
        <w:numPr>
          <w:ilvl w:val="0"/>
          <w:numId w:val="3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数据范围：客服技术支持服务文件，包括使用操作、维修维护等需要交付的数据。</w:t>
      </w:r>
    </w:p>
    <w:p w14:paraId="454447B5">
      <w:pPr>
        <w:pStyle w:val="87"/>
        <w:numPr>
          <w:ilvl w:val="0"/>
          <w:numId w:val="3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多媒体数据：型号装备的音频、视频等数据。</w:t>
      </w:r>
    </w:p>
    <w:p w14:paraId="5BFCBF3E">
      <w:pPr>
        <w:pStyle w:val="87"/>
        <w:numPr>
          <w:ilvl w:val="0"/>
          <w:numId w:val="3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二维三维数据：装备设计轻量化模型、STP/igs等中间格式的模型数据。</w:t>
      </w:r>
    </w:p>
    <w:p w14:paraId="15CFA023">
      <w:pPr>
        <w:pStyle w:val="87"/>
        <w:numPr>
          <w:ilvl w:val="0"/>
          <w:numId w:val="0"/>
        </w:numPr>
        <w:ind w:left="48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本节不适用于</w:t>
      </w:r>
      <w:r>
        <w:rPr>
          <w:rFonts w:hint="eastAsia" w:ascii="宋体" w:hAnsi="宋体" w:eastAsia="宋体" w:cs="宋体"/>
          <w:color w:val="auto"/>
          <w:kern w:val="0"/>
          <w:sz w:val="24"/>
          <w:szCs w:val="24"/>
          <w:highlight w:val="none"/>
        </w:rPr>
        <w:t>公司网站建设。</w:t>
      </w:r>
    </w:p>
    <w:p w14:paraId="43D2E034">
      <w:pPr>
        <w:pStyle w:val="246"/>
        <w:numPr>
          <w:ilvl w:val="1"/>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 ★集成要求</w:t>
      </w:r>
    </w:p>
    <w:p w14:paraId="134B3C17">
      <w:pPr>
        <w:pStyle w:val="87"/>
        <w:overflowPunct w:val="0"/>
        <w:adjustRightInd w:val="0"/>
        <w:snapToGrid w:val="0"/>
        <w:ind w:firstLineChars="0"/>
        <w:rPr>
          <w:rFonts w:hint="eastAsia" w:ascii="宋体" w:hAnsi="宋体" w:eastAsia="宋体" w:cs="宋体"/>
          <w:vanish/>
          <w:color w:val="auto"/>
          <w:kern w:val="0"/>
          <w:sz w:val="24"/>
          <w:szCs w:val="24"/>
          <w:highlight w:val="none"/>
        </w:rPr>
      </w:pPr>
      <w:r>
        <w:rPr>
          <w:rFonts w:hint="eastAsia" w:ascii="宋体" w:hAnsi="宋体" w:eastAsia="宋体" w:cs="宋体"/>
          <w:color w:val="auto"/>
          <w:kern w:val="0"/>
          <w:sz w:val="24"/>
          <w:szCs w:val="24"/>
          <w:highlight w:val="none"/>
        </w:rPr>
        <w:t>实现客服技术支持服务文件编制工具与九洲空管数字化协同研发平台（TC系统）、协同办公系统（OA系统）集成，满足TC系统、OA系统与客服技术支持服务文件编制工具的数据和流程交互要求。</w:t>
      </w:r>
    </w:p>
    <w:p w14:paraId="484CF594">
      <w:pPr>
        <w:pStyle w:val="87"/>
        <w:numPr>
          <w:ilvl w:val="0"/>
          <w:numId w:val="37"/>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客服技术支持服务文件编制工具与TC系统集成</w:t>
      </w:r>
    </w:p>
    <w:p w14:paraId="5E7A2747">
      <w:pPr>
        <w:pStyle w:val="87"/>
        <w:overflowPunct w:val="0"/>
        <w:adjustRightInd w:val="0"/>
        <w:snapToGrid w:val="0"/>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推送接口：将所需的科技管理文件、轻量化模型等信息及主体文件传递至客服技术支持服务文件编制工具。</w:t>
      </w:r>
    </w:p>
    <w:p w14:paraId="4B760396">
      <w:pPr>
        <w:pStyle w:val="87"/>
        <w:overflowPunct w:val="0"/>
        <w:adjustRightInd w:val="0"/>
        <w:snapToGrid w:val="0"/>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获取接口：在数据编制过程中可以通过文件获取接口，通过项目名称、文件编码、文件名称等方式定位至最新的技术文件或模型，并直接抓取作为IETM的中源数据一部分。</w:t>
      </w:r>
    </w:p>
    <w:p w14:paraId="07A5CF87">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变更通知接口：在</w:t>
      </w:r>
      <w:r>
        <w:rPr>
          <w:rFonts w:hint="eastAsia" w:ascii="宋体" w:hAnsi="宋体" w:eastAsia="宋体" w:cs="宋体"/>
          <w:color w:val="auto"/>
          <w:sz w:val="24"/>
          <w:szCs w:val="24"/>
          <w:highlight w:val="none"/>
        </w:rPr>
        <w:t>TC系统</w:t>
      </w:r>
      <w:r>
        <w:rPr>
          <w:rFonts w:hint="eastAsia" w:ascii="宋体" w:hAnsi="宋体" w:eastAsia="宋体" w:cs="宋体"/>
          <w:color w:val="auto"/>
          <w:kern w:val="0"/>
          <w:sz w:val="24"/>
          <w:szCs w:val="24"/>
          <w:highlight w:val="none"/>
        </w:rPr>
        <w:t>中与IETM有关联的文件或模型发生变更时需要通知至IETM系统负责人，判断该变更是否需要开展技术资料的同步变更。</w:t>
      </w:r>
    </w:p>
    <w:p w14:paraId="50445E15">
      <w:pPr>
        <w:pStyle w:val="87"/>
        <w:numPr>
          <w:ilvl w:val="0"/>
          <w:numId w:val="37"/>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客服技术支持服务文件编制工具与OA系统集成</w:t>
      </w:r>
    </w:p>
    <w:p w14:paraId="69DA30C8">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支持通过OA系统进入</w:t>
      </w:r>
      <w:r>
        <w:rPr>
          <w:rFonts w:hint="eastAsia" w:ascii="宋体" w:hAnsi="宋体" w:eastAsia="宋体" w:cs="宋体"/>
          <w:color w:val="auto"/>
          <w:sz w:val="24"/>
          <w:szCs w:val="24"/>
          <w:highlight w:val="none"/>
        </w:rPr>
        <w:t>客服技术支持服务文件编制工具，实现客服技术支持服务文件编制工具的单点登录</w:t>
      </w:r>
      <w:r>
        <w:rPr>
          <w:rFonts w:hint="eastAsia" w:ascii="宋体" w:hAnsi="宋体" w:eastAsia="宋体" w:cs="宋体"/>
          <w:color w:val="auto"/>
          <w:kern w:val="0"/>
          <w:sz w:val="24"/>
          <w:szCs w:val="24"/>
          <w:highlight w:val="none"/>
        </w:rPr>
        <w:t>。</w:t>
      </w:r>
    </w:p>
    <w:p w14:paraId="711BAB98">
      <w:pPr>
        <w:pStyle w:val="87"/>
        <w:numPr>
          <w:ilvl w:val="0"/>
          <w:numId w:val="37"/>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制度建设</w:t>
      </w:r>
    </w:p>
    <w:p w14:paraId="30C1ACFD">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协助完成IETM编制、管理等规范的分析和研究，指导下一步IETM的选择、实施、交付，为编写发布提供支持；</w:t>
      </w:r>
    </w:p>
    <w:p w14:paraId="3D34A98C">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协助完成管理制度建设，结合工具应用方式建立编制、审签、发布流程。</w:t>
      </w:r>
    </w:p>
    <w:p w14:paraId="00CFA801">
      <w:pPr>
        <w:pStyle w:val="246"/>
        <w:numPr>
          <w:ilvl w:val="1"/>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vanish w:val="0"/>
          <w:color w:val="auto"/>
          <w:sz w:val="24"/>
          <w:szCs w:val="24"/>
          <w:highlight w:val="none"/>
        </w:rPr>
        <w:t xml:space="preserve">8 </w:t>
      </w:r>
      <w:r>
        <w:rPr>
          <w:rFonts w:hint="eastAsia" w:ascii="宋体" w:hAnsi="宋体" w:eastAsia="宋体" w:cs="宋体"/>
          <w:color w:val="auto"/>
          <w:sz w:val="24"/>
          <w:szCs w:val="24"/>
          <w:highlight w:val="none"/>
        </w:rPr>
        <w:t>其他要求</w:t>
      </w:r>
    </w:p>
    <w:p w14:paraId="24173E3D">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 并发用户许可数量</w:t>
      </w:r>
    </w:p>
    <w:p w14:paraId="7BED828D">
      <w:pPr>
        <w:pStyle w:val="87"/>
        <w:numPr>
          <w:ilvl w:val="0"/>
          <w:numId w:val="38"/>
        </w:numPr>
        <w:spacing w:before="156" w:after="156"/>
        <w:ind w:firstLineChars="0"/>
        <w:rPr>
          <w:rFonts w:hint="eastAsia" w:ascii="宋体" w:hAnsi="宋体" w:eastAsia="宋体" w:cs="宋体"/>
          <w:color w:val="auto"/>
          <w:sz w:val="24"/>
          <w:szCs w:val="24"/>
          <w:highlight w:val="none"/>
        </w:rPr>
      </w:pPr>
      <w:bookmarkStart w:id="153" w:name="OLE_LINK7"/>
      <w:r>
        <w:rPr>
          <w:rFonts w:hint="eastAsia" w:ascii="宋体" w:hAnsi="宋体" w:eastAsia="宋体" w:cs="宋体"/>
          <w:color w:val="auto"/>
          <w:sz w:val="24"/>
          <w:szCs w:val="24"/>
          <w:highlight w:val="none"/>
        </w:rPr>
        <w:t>文件编制工具</w:t>
      </w:r>
      <w:bookmarkEnd w:id="153"/>
      <w:r>
        <w:rPr>
          <w:rFonts w:hint="eastAsia" w:ascii="宋体" w:hAnsi="宋体" w:eastAsia="宋体" w:cs="宋体"/>
          <w:color w:val="auto"/>
          <w:sz w:val="24"/>
          <w:szCs w:val="24"/>
          <w:highlight w:val="none"/>
        </w:rPr>
        <w:t>：不少于10个。</w:t>
      </w:r>
    </w:p>
    <w:p w14:paraId="51B6C5C9">
      <w:pPr>
        <w:pStyle w:val="87"/>
        <w:numPr>
          <w:ilvl w:val="0"/>
          <w:numId w:val="38"/>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★网站：满足公司全员使用，不涉及Licence（许可）相关限制。</w:t>
      </w:r>
    </w:p>
    <w:p w14:paraId="396CDA7F">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系统管理</w:t>
      </w:r>
    </w:p>
    <w:p w14:paraId="55BE23F9">
      <w:pPr>
        <w:pStyle w:val="87"/>
        <w:numPr>
          <w:ilvl w:val="0"/>
          <w:numId w:val="0"/>
        </w:numPr>
        <w:ind w:left="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文件编制工具系统管理要求：</w:t>
      </w:r>
    </w:p>
    <w:p w14:paraId="61387AF4">
      <w:pPr>
        <w:pStyle w:val="87"/>
        <w:numPr>
          <w:ilvl w:val="0"/>
          <w:numId w:val="39"/>
        </w:numPr>
        <w:ind w:left="900" w:hanging="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系统管理，支持组织机构、用户、角色的管理。</w:t>
      </w:r>
    </w:p>
    <w:p w14:paraId="4ED1C6E5">
      <w:pPr>
        <w:pStyle w:val="87"/>
        <w:numPr>
          <w:ilvl w:val="0"/>
          <w:numId w:val="39"/>
        </w:numPr>
        <w:ind w:left="900" w:hanging="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支持三员管理，系统设立三员，即系统管理员、安全保密管理员和安全审计员。</w:t>
      </w:r>
    </w:p>
    <w:p w14:paraId="60C81A61">
      <w:pPr>
        <w:pStyle w:val="87"/>
        <w:numPr>
          <w:ilvl w:val="0"/>
          <w:numId w:val="39"/>
        </w:numPr>
        <w:ind w:left="900" w:hanging="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功能权限控制，对系统的功能访问采用强制访问控制策略，通过功能权限设置将功能控制到单个用户。</w:t>
      </w:r>
    </w:p>
    <w:p w14:paraId="77A8D73F">
      <w:pPr>
        <w:pStyle w:val="87"/>
        <w:numPr>
          <w:ilvl w:val="0"/>
          <w:numId w:val="39"/>
        </w:numPr>
        <w:ind w:left="900" w:hanging="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数据权限控制，对系统内涉密数据的访问采用强制访问控制策略，通过数据权限设置将控制到数据对象。</w:t>
      </w:r>
    </w:p>
    <w:p w14:paraId="23568E30">
      <w:pPr>
        <w:pStyle w:val="87"/>
        <w:numPr>
          <w:ilvl w:val="0"/>
          <w:numId w:val="39"/>
        </w:numPr>
        <w:ind w:left="900" w:hanging="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密级标识，对系统中涉密信息都有相应的密级标识，并支持按照密级进行访问控制。</w:t>
      </w:r>
    </w:p>
    <w:p w14:paraId="4A999C7B">
      <w:pPr>
        <w:pStyle w:val="87"/>
        <w:numPr>
          <w:ilvl w:val="0"/>
          <w:numId w:val="39"/>
        </w:numPr>
        <w:ind w:left="900" w:hanging="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安全审计，对系统重要操作都有审计日志记录。</w:t>
      </w:r>
    </w:p>
    <w:p w14:paraId="0214FABF">
      <w:pPr>
        <w:pStyle w:val="87"/>
        <w:numPr>
          <w:ilvl w:val="0"/>
          <w:numId w:val="39"/>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身份认证，支持用户名/口令的安全鉴别策略进行身份认证，采用用户名/口令方式的，对系统用户的口令长度、口令强度、口令更改周期强制限制。</w:t>
      </w:r>
    </w:p>
    <w:p w14:paraId="78D1307E">
      <w:pPr>
        <w:pStyle w:val="87"/>
        <w:numPr>
          <w:ilvl w:val="0"/>
          <w:numId w:val="0"/>
        </w:numPr>
        <w:ind w:left="48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本节不适用于公司网站建设，公司网站管理要求见8.6节。</w:t>
      </w:r>
    </w:p>
    <w:p w14:paraId="2A65F734">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 产品性能</w:t>
      </w:r>
    </w:p>
    <w:p w14:paraId="17A37A2B">
      <w:pPr>
        <w:overflowPunct w:val="0"/>
        <w:adjustRightInd w:val="0"/>
        <w:snapToGrid w:val="0"/>
        <w:spacing w:line="360" w:lineRule="auto"/>
        <w:ind w:left="90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文件编制工具的指标要求：</w:t>
      </w:r>
    </w:p>
    <w:p w14:paraId="24C95E02">
      <w:pPr>
        <w:pStyle w:val="82"/>
        <w:numPr>
          <w:ilvl w:val="0"/>
          <w:numId w:val="40"/>
        </w:numPr>
        <w:overflowPunct w:val="0"/>
        <w:adjustRightInd w:val="0"/>
        <w:snapToGrid w:val="0"/>
        <w:spacing w:line="360" w:lineRule="auto"/>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系统基础功能操作响应时间 ≤1秒；</w:t>
      </w:r>
    </w:p>
    <w:p w14:paraId="5C283D94">
      <w:pPr>
        <w:pStyle w:val="82"/>
        <w:numPr>
          <w:ilvl w:val="0"/>
          <w:numId w:val="40"/>
        </w:numPr>
        <w:overflowPunct w:val="0"/>
        <w:adjustRightInd w:val="0"/>
        <w:snapToGrid w:val="0"/>
        <w:spacing w:line="360" w:lineRule="auto"/>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复杂表单的数据查询及渲染响应时间 ≤3秒；</w:t>
      </w:r>
    </w:p>
    <w:p w14:paraId="402BFD97">
      <w:pPr>
        <w:pStyle w:val="82"/>
        <w:numPr>
          <w:ilvl w:val="0"/>
          <w:numId w:val="40"/>
        </w:numPr>
        <w:overflowPunct w:val="0"/>
        <w:adjustRightInd w:val="0"/>
        <w:snapToGrid w:val="0"/>
        <w:spacing w:line="360" w:lineRule="auto"/>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一般事务功能的操作响应时间 ≤2秒。</w:t>
      </w:r>
    </w:p>
    <w:p w14:paraId="2E1967B9">
      <w:pPr>
        <w:overflowPunct w:val="0"/>
        <w:adjustRightInd w:val="0"/>
        <w:snapToGrid w:val="0"/>
        <w:spacing w:line="360" w:lineRule="auto"/>
        <w:ind w:left="48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公司网站</w:t>
      </w:r>
      <w:r>
        <w:rPr>
          <w:rFonts w:hint="eastAsia" w:ascii="宋体" w:hAnsi="宋体" w:eastAsia="宋体" w:cs="宋体"/>
          <w:color w:val="auto"/>
          <w:sz w:val="24"/>
          <w:szCs w:val="24"/>
          <w:highlight w:val="none"/>
          <w:lang w:eastAsia="zh-CN"/>
        </w:rPr>
        <w:t>在硬件配置支撑的情况下</w:t>
      </w:r>
      <w:r>
        <w:rPr>
          <w:rFonts w:hint="eastAsia" w:ascii="宋体" w:hAnsi="宋体" w:eastAsia="宋体" w:cs="宋体"/>
          <w:color w:val="auto"/>
          <w:kern w:val="0"/>
          <w:sz w:val="24"/>
          <w:szCs w:val="24"/>
          <w:highlight w:val="none"/>
        </w:rPr>
        <w:t>的指标要求：</w:t>
      </w:r>
    </w:p>
    <w:p w14:paraId="3B09ED23">
      <w:pPr>
        <w:pStyle w:val="82"/>
        <w:numPr>
          <w:ilvl w:val="0"/>
          <w:numId w:val="4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首屏加载时间≤2 秒，界面平均响应时间≤3s，如超过3s应提供进度条提示。</w:t>
      </w:r>
    </w:p>
    <w:p w14:paraId="06DB2053">
      <w:pPr>
        <w:pStyle w:val="82"/>
        <w:numPr>
          <w:ilvl w:val="0"/>
          <w:numId w:val="4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一百万条数据单表查询响应时间≤10s。</w:t>
      </w:r>
    </w:p>
    <w:p w14:paraId="1F73C401">
      <w:pPr>
        <w:pStyle w:val="82"/>
        <w:numPr>
          <w:ilvl w:val="0"/>
          <w:numId w:val="4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一百万条数据多表联合查询、统计的汇总时间≤50s。</w:t>
      </w:r>
    </w:p>
    <w:p w14:paraId="37332884">
      <w:pPr>
        <w:pStyle w:val="82"/>
        <w:numPr>
          <w:ilvl w:val="0"/>
          <w:numId w:val="4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单条数据存储导入导出时间≤3s。</w:t>
      </w:r>
    </w:p>
    <w:p w14:paraId="40A614BD">
      <w:pPr>
        <w:pStyle w:val="82"/>
        <w:numPr>
          <w:ilvl w:val="0"/>
          <w:numId w:val="4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一万条数据存储导入导出时间≤60s。</w:t>
      </w:r>
    </w:p>
    <w:p w14:paraId="419BD207">
      <w:pPr>
        <w:pStyle w:val="82"/>
        <w:numPr>
          <w:ilvl w:val="0"/>
          <w:numId w:val="41"/>
        </w:numPr>
        <w:overflowPunct w:val="0"/>
        <w:adjustRightInd w:val="0"/>
        <w:snapToGrid w:val="0"/>
        <w:spacing w:line="360" w:lineRule="auto"/>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最大并发用户吞吐量≥500 个。</w:t>
      </w:r>
    </w:p>
    <w:p w14:paraId="12FAD786">
      <w:pPr>
        <w:pStyle w:val="82"/>
        <w:numPr>
          <w:ilvl w:val="0"/>
          <w:numId w:val="41"/>
        </w:numPr>
        <w:overflowPunct w:val="0"/>
        <w:adjustRightInd w:val="0"/>
        <w:snapToGrid w:val="0"/>
        <w:spacing w:line="360" w:lineRule="auto"/>
        <w:ind w:left="900" w:hanging="42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系统上线运行6 个月的平均无故障时间应≥179 天（即可用性≥99.5%)。</w:t>
      </w:r>
    </w:p>
    <w:p w14:paraId="72AC59E0">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 操作系统支持</w:t>
      </w:r>
    </w:p>
    <w:p w14:paraId="1D1DB015">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bookmarkStart w:id="154" w:name="OLE_LINK12"/>
      <w:bookmarkStart w:id="155" w:name="OLE_LINK11"/>
      <w:r>
        <w:rPr>
          <w:rFonts w:hint="eastAsia" w:ascii="宋体" w:hAnsi="宋体" w:eastAsia="宋体" w:cs="宋体"/>
          <w:color w:val="auto"/>
          <w:kern w:val="0"/>
          <w:sz w:val="24"/>
          <w:szCs w:val="24"/>
          <w:highlight w:val="none"/>
        </w:rPr>
        <w:t>文件编制工具要求如下：</w:t>
      </w:r>
    </w:p>
    <w:p w14:paraId="16F8C463">
      <w:pPr>
        <w:pStyle w:val="82"/>
        <w:numPr>
          <w:ilvl w:val="0"/>
          <w:numId w:val="42"/>
        </w:numPr>
        <w:overflowPunct w:val="0"/>
        <w:adjustRightInd w:val="0"/>
        <w:snapToGrid w:val="0"/>
        <w:spacing w:line="360" w:lineRule="auto"/>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服务端：Windows Server 2012及以上；</w:t>
      </w:r>
    </w:p>
    <w:p w14:paraId="6092CAA0">
      <w:pPr>
        <w:pStyle w:val="82"/>
        <w:numPr>
          <w:ilvl w:val="0"/>
          <w:numId w:val="42"/>
        </w:numPr>
        <w:overflowPunct w:val="0"/>
        <w:adjustRightInd w:val="0"/>
        <w:snapToGrid w:val="0"/>
        <w:spacing w:line="360" w:lineRule="auto"/>
        <w:ind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客户端：Windows 7及以上。</w:t>
      </w:r>
    </w:p>
    <w:p w14:paraId="2115BE04">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公司网站要求如下：</w:t>
      </w:r>
    </w:p>
    <w:p w14:paraId="7C874BCC">
      <w:pPr>
        <w:pStyle w:val="82"/>
        <w:numPr>
          <w:ilvl w:val="0"/>
          <w:numId w:val="4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浏览器兼容：能在主流浏览器（如360浏览器、chrome浏览器等）的不同版本上正常显示和运行。</w:t>
      </w:r>
    </w:p>
    <w:p w14:paraId="6D73CF36">
      <w:pPr>
        <w:pStyle w:val="82"/>
        <w:numPr>
          <w:ilvl w:val="0"/>
          <w:numId w:val="4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设备兼容：适配不同设备，包括PC端、手机等，确保在各种屏幕尺寸下有良好的显示和操作体验。</w:t>
      </w:r>
    </w:p>
    <w:p w14:paraId="0EE13F6F">
      <w:pPr>
        <w:pStyle w:val="82"/>
        <w:numPr>
          <w:ilvl w:val="0"/>
          <w:numId w:val="4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支持主流操作系统（windows）、数据库(mysql、sqlserver等)及中间件。</w:t>
      </w:r>
    </w:p>
    <w:p w14:paraId="724B3FB1">
      <w:pPr>
        <w:pStyle w:val="82"/>
        <w:numPr>
          <w:ilvl w:val="0"/>
          <w:numId w:val="4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系统部署支持物理服务器和虚拟化服务器。</w:t>
      </w:r>
    </w:p>
    <w:bookmarkEnd w:id="154"/>
    <w:bookmarkEnd w:id="155"/>
    <w:p w14:paraId="151A1363">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 文件编制工具软件环境支持</w:t>
      </w:r>
    </w:p>
    <w:p w14:paraId="24668593">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数据库：Oracle12c、mysql、sqlserver等主流常用数据库；</w:t>
      </w:r>
    </w:p>
    <w:p w14:paraId="0C1F0C42">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中间件：Apache、Tomcat等主流中间件；</w:t>
      </w:r>
    </w:p>
    <w:p w14:paraId="1E25E7C4">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浏览器：谷歌Chrome、火狐Firefox浏览器等；</w:t>
      </w:r>
    </w:p>
    <w:p w14:paraId="2F390EFD">
      <w:pPr>
        <w:overflowPunct w:val="0"/>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其他：JDK1.8及以上。</w:t>
      </w:r>
    </w:p>
    <w:p w14:paraId="2539FD10">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 公司网站要求</w:t>
      </w:r>
    </w:p>
    <w:p w14:paraId="3A3BDCF9">
      <w:pPr>
        <w:pStyle w:val="87"/>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本条目仅适用于公司网站。</w:t>
      </w:r>
    </w:p>
    <w:p w14:paraId="1C2A6496">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8.6.1知识产权要求</w:t>
      </w:r>
    </w:p>
    <w:p w14:paraId="3536D398">
      <w:pPr>
        <w:pStyle w:val="87"/>
        <w:numPr>
          <w:ilvl w:val="0"/>
          <w:numId w:val="0"/>
        </w:numPr>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因本系统技术要求所开发产生的研究成果及其相关知识产权权归招标方所有；招标方有权对二次开发产生的相关代码进行专利、软件著作权等申请。</w:t>
      </w:r>
    </w:p>
    <w:p w14:paraId="13603C39">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8.6.2</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标准化要求</w:t>
      </w:r>
    </w:p>
    <w:p w14:paraId="6DF30D8D">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系统设计应符合招标方信息化技术体系结构要求，符合招标方软件开发标准、接口标准、编码标准、数据标准等标准要求。</w:t>
      </w:r>
    </w:p>
    <w:p w14:paraId="205BD8EE">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8.6.3</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可靠性要求</w:t>
      </w:r>
    </w:p>
    <w:p w14:paraId="7E9DDBED">
      <w:pPr>
        <w:pStyle w:val="82"/>
        <w:numPr>
          <w:ilvl w:val="0"/>
          <w:numId w:val="44"/>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系统可靠性：系统可靠性应符合GJB/Z102《软件可靠性与安全性设计准则》有关要求。</w:t>
      </w:r>
    </w:p>
    <w:p w14:paraId="090B1F84">
      <w:pPr>
        <w:pStyle w:val="82"/>
        <w:numPr>
          <w:ilvl w:val="0"/>
          <w:numId w:val="44"/>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数据备份：建立有效的数据备份、恢复机制，确保信息资源数据万无一失；支持与国内主流的备份解决方案兼容的备份机制。</w:t>
      </w:r>
    </w:p>
    <w:p w14:paraId="0AC4CDB8">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8.6.4</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可维护性要求</w:t>
      </w:r>
    </w:p>
    <w:p w14:paraId="3B14B940">
      <w:pPr>
        <w:pStyle w:val="82"/>
        <w:numPr>
          <w:ilvl w:val="0"/>
          <w:numId w:val="45"/>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系统可维护性应遵循GJB1267-1991《JY软件维护》要求及行业标准，软件结构应清晰合理，定制开发类注释代码行总体≥40%，后端类、方法、变量、复杂逻辑、接口100%注释，前端方法、组件、变量90%注释。</w:t>
      </w:r>
    </w:p>
    <w:p w14:paraId="2513A8F0">
      <w:pPr>
        <w:pStyle w:val="82"/>
        <w:numPr>
          <w:ilvl w:val="0"/>
          <w:numId w:val="45"/>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系统可通过后台维护界面对前端展示界面内容进行调整。</w:t>
      </w:r>
    </w:p>
    <w:p w14:paraId="7E44CD1C">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8.6.5</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安全性要求</w:t>
      </w:r>
    </w:p>
    <w:p w14:paraId="307DA7C7">
      <w:pPr>
        <w:pStyle w:val="82"/>
        <w:numPr>
          <w:ilvl w:val="0"/>
          <w:numId w:val="46"/>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系统采用前、后端分离架构，部署后需实现外部互联网用户仅能访问前端页面，后端管理部分仅集团内部互联网私有IP段登录后可以访问。</w:t>
      </w:r>
    </w:p>
    <w:p w14:paraId="5F9A59D4">
      <w:pPr>
        <w:pStyle w:val="82"/>
        <w:numPr>
          <w:ilvl w:val="0"/>
          <w:numId w:val="46"/>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网站访问需采用HTTPS协议，投标方需提供本网站匹配的正式HTTPS证书和为招标方的2个域名续费以保障网站可以以HTTPS形式正常被访问。（注：HTTPS证书首次授权时间不得少于3年；域名续费授权时间不得少于10年。）</w:t>
      </w:r>
    </w:p>
    <w:p w14:paraId="3F75005E">
      <w:pPr>
        <w:pStyle w:val="82"/>
        <w:numPr>
          <w:ilvl w:val="0"/>
          <w:numId w:val="46"/>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网站后台应具有用户和权限管理功能，同时应具有网站用户登录密码的位数限制、密码复杂度控制等相应的安全功能。</w:t>
      </w:r>
    </w:p>
    <w:p w14:paraId="069BF4A3">
      <w:pPr>
        <w:pStyle w:val="82"/>
        <w:numPr>
          <w:ilvl w:val="0"/>
          <w:numId w:val="46"/>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系统安全性应符合国家等级保护等相关标准要求。</w:t>
      </w:r>
    </w:p>
    <w:p w14:paraId="2804C691">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8.6.6</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扩展性要求</w:t>
      </w:r>
    </w:p>
    <w:p w14:paraId="5A4268BD">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系统需具备较强的集成可扩展性，确保能够与未来信息化规划系统进行集成并适应新的业务需求。</w:t>
      </w:r>
    </w:p>
    <w:p w14:paraId="40B9001D">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8.6.7</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易用性要求</w:t>
      </w:r>
    </w:p>
    <w:p w14:paraId="14463021">
      <w:pPr>
        <w:pStyle w:val="82"/>
        <w:numPr>
          <w:ilvl w:val="0"/>
          <w:numId w:val="47"/>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系统需要用语规范、操作简单、使用方便，具有人性化操作界面、符合普通用户操作习惯；</w:t>
      </w:r>
    </w:p>
    <w:p w14:paraId="63B1226D">
      <w:pPr>
        <w:pStyle w:val="82"/>
        <w:numPr>
          <w:ilvl w:val="0"/>
          <w:numId w:val="47"/>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操作反馈及时明确，提示信息需简洁明了、易于理解；</w:t>
      </w:r>
    </w:p>
    <w:p w14:paraId="1D829188">
      <w:pPr>
        <w:pStyle w:val="82"/>
        <w:numPr>
          <w:ilvl w:val="0"/>
          <w:numId w:val="47"/>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具有联机帮助功能或用户手册，人机界面友好。</w:t>
      </w:r>
    </w:p>
    <w:p w14:paraId="3515D165">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8.6.8</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可开发性要求</w:t>
      </w:r>
    </w:p>
    <w:p w14:paraId="210ED201">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系统应提供包括但不限于文档、开发接口、定制化开发源代码等相关图纸资料，便于招标方对系统进行功能升级改造。</w:t>
      </w:r>
    </w:p>
    <w:p w14:paraId="509B40B0">
      <w:pPr>
        <w:pStyle w:val="82"/>
        <w:numPr>
          <w:ilvl w:val="0"/>
          <w:numId w:val="48"/>
        </w:numPr>
        <w:overflowPunct w:val="0"/>
        <w:adjustRightInd w:val="0"/>
        <w:snapToGrid w:val="0"/>
        <w:spacing w:line="360" w:lineRule="auto"/>
        <w:ind w:left="900" w:firstLineChars="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开发环境与源代码管理</w:t>
      </w:r>
    </w:p>
    <w:p w14:paraId="6F0D6EFC">
      <w:pPr>
        <w:pStyle w:val="87"/>
        <w:numPr>
          <w:ilvl w:val="0"/>
          <w:numId w:val="49"/>
        </w:numPr>
        <w:ind w:left="126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开发环境要求</w:t>
      </w:r>
    </w:p>
    <w:p w14:paraId="7167AB96">
      <w:pPr>
        <w:pStyle w:val="87"/>
        <w:ind w:firstLine="480"/>
        <w:rPr>
          <w:rFonts w:hint="eastAsia" w:ascii="宋体" w:hAnsi="宋体" w:eastAsia="宋体" w:cs="宋体"/>
          <w:bCs w:val="0"/>
          <w:color w:val="auto"/>
          <w:sz w:val="24"/>
          <w:szCs w:val="24"/>
          <w:highlight w:val="none"/>
        </w:rPr>
      </w:pPr>
      <w:r>
        <w:rPr>
          <w:rFonts w:hint="eastAsia" w:ascii="宋体" w:hAnsi="宋体" w:eastAsia="宋体" w:cs="宋体"/>
          <w:b w:val="0"/>
          <w:bCs w:val="0"/>
          <w:color w:val="auto"/>
          <w:sz w:val="24"/>
          <w:szCs w:val="24"/>
          <w:highlight w:val="none"/>
        </w:rPr>
        <w:t>硬件环境：需与生产环境架构保持一致。</w:t>
      </w:r>
    </w:p>
    <w:p w14:paraId="312E8504">
      <w:pPr>
        <w:pStyle w:val="87"/>
        <w:ind w:firstLine="480"/>
        <w:rPr>
          <w:rFonts w:hint="eastAsia" w:ascii="宋体" w:hAnsi="宋体" w:eastAsia="宋体" w:cs="宋体"/>
          <w:bCs w:val="0"/>
          <w:color w:val="auto"/>
          <w:sz w:val="24"/>
          <w:szCs w:val="24"/>
          <w:highlight w:val="none"/>
        </w:rPr>
      </w:pPr>
      <w:r>
        <w:rPr>
          <w:rFonts w:hint="eastAsia" w:ascii="宋体" w:hAnsi="宋体" w:eastAsia="宋体" w:cs="宋体"/>
          <w:b w:val="0"/>
          <w:bCs w:val="0"/>
          <w:color w:val="auto"/>
          <w:sz w:val="24"/>
          <w:szCs w:val="24"/>
          <w:highlight w:val="none"/>
        </w:rPr>
        <w:t>软件环境：提供完整可编译的代码运行环境，包含所有依赖组件（如</w:t>
      </w:r>
      <w:r>
        <w:rPr>
          <w:rFonts w:hint="eastAsia" w:ascii="宋体" w:hAnsi="宋体" w:eastAsia="宋体" w:cs="宋体"/>
          <w:bCs w:val="0"/>
          <w:color w:val="auto"/>
          <w:sz w:val="24"/>
          <w:szCs w:val="24"/>
          <w:highlight w:val="none"/>
        </w:rPr>
        <w:t>SDK、驱动程序、第三方库等），需与生产环境版本兼容，且预配置自动化编译工具（如Maven、Gradle）及单元测试框架。</w:t>
      </w:r>
    </w:p>
    <w:p w14:paraId="60B1B71A">
      <w:pPr>
        <w:pStyle w:val="87"/>
        <w:ind w:firstLine="480"/>
        <w:rPr>
          <w:rFonts w:hint="eastAsia" w:ascii="宋体" w:hAnsi="宋体" w:eastAsia="宋体" w:cs="宋体"/>
          <w:bCs w:val="0"/>
          <w:color w:val="auto"/>
          <w:sz w:val="24"/>
          <w:szCs w:val="24"/>
          <w:highlight w:val="none"/>
        </w:rPr>
      </w:pPr>
      <w:r>
        <w:rPr>
          <w:rFonts w:hint="eastAsia" w:ascii="宋体" w:hAnsi="宋体" w:eastAsia="宋体" w:cs="宋体"/>
          <w:b w:val="0"/>
          <w:bCs w:val="0"/>
          <w:color w:val="auto"/>
          <w:sz w:val="24"/>
          <w:szCs w:val="24"/>
          <w:highlight w:val="none"/>
        </w:rPr>
        <w:t>环境隔离：开发环境与测试、生产环境严格隔离，具备独立的数据库实例、中间件等防止开发操作影响其他环境稳定性。</w:t>
      </w:r>
    </w:p>
    <w:p w14:paraId="1CCA59AF">
      <w:pPr>
        <w:pStyle w:val="87"/>
        <w:numPr>
          <w:ilvl w:val="0"/>
          <w:numId w:val="49"/>
        </w:numPr>
        <w:ind w:left="126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源代码管理</w:t>
      </w:r>
    </w:p>
    <w:p w14:paraId="19DF3E02">
      <w:pPr>
        <w:pStyle w:val="87"/>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交付完整的本项目定制开发的所有源代码，包括但不限于二次开发手册、API接口文档、相关二开手段的场景示例说明、用户界面代码、数据结构定义，数据库表结构、数据库脚本、配置文件、数据字段含义、数据关系等以及与外部系统交互的接口代码。</w:t>
      </w:r>
    </w:p>
    <w:p w14:paraId="245A8561">
      <w:pPr>
        <w:pStyle w:val="82"/>
        <w:numPr>
          <w:ilvl w:val="0"/>
          <w:numId w:val="48"/>
        </w:numPr>
        <w:overflowPunct w:val="0"/>
        <w:adjustRightInd w:val="0"/>
        <w:snapToGrid w:val="0"/>
        <w:spacing w:line="360" w:lineRule="auto"/>
        <w:ind w:left="900" w:firstLineChars="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系统进行更新后需及时提供更新后的代码；</w:t>
      </w:r>
    </w:p>
    <w:p w14:paraId="3FBBABFC">
      <w:pPr>
        <w:pStyle w:val="82"/>
        <w:numPr>
          <w:ilvl w:val="0"/>
          <w:numId w:val="48"/>
        </w:numPr>
        <w:overflowPunct w:val="0"/>
        <w:adjustRightInd w:val="0"/>
        <w:snapToGrid w:val="0"/>
        <w:spacing w:line="360" w:lineRule="auto"/>
        <w:ind w:left="900" w:firstLineChars="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提供的源码须遵循一定的代码规范，有完整、详细、准确的注释；提供完整的相关文档，包括但不限于系统架构文档、数据库设计文档、接口文档、功能模块说明文档等。</w:t>
      </w:r>
    </w:p>
    <w:p w14:paraId="2D5F0863">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★8.6.9</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授权要求</w:t>
      </w:r>
    </w:p>
    <w:p w14:paraId="31D18A18">
      <w:pPr>
        <w:pStyle w:val="87"/>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投标方应不限制 License授权数量，不限制License授权使用期限，不限制License授权的部署套数（仅限招标方工作区域的生产环境、测试环境、开发环境部署）。</w:t>
      </w:r>
    </w:p>
    <w:p w14:paraId="24D421A0">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★8.6.10</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渗透测试</w:t>
      </w:r>
    </w:p>
    <w:p w14:paraId="791ACD84">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投标方委托第三方机构进行渗透测试，并按照要求修复漏洞，期间需出具渗透测试报告及问题整改报告等证明材料。</w:t>
      </w:r>
    </w:p>
    <w:p w14:paraId="144B2B5B">
      <w:pPr>
        <w:pStyle w:val="309"/>
        <w:numPr>
          <w:ilvl w:val="2"/>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8.6.11</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数据迁移</w:t>
      </w:r>
    </w:p>
    <w:p w14:paraId="22CAF2D7">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投标方需完成由招标方指定的原网站相关数据到本次改造后网站的数据迁移工作。</w:t>
      </w:r>
    </w:p>
    <w:p w14:paraId="5ED2DF18">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网站安全保密要求</w:t>
      </w:r>
    </w:p>
    <w:p w14:paraId="5AC59660">
      <w:pPr>
        <w:pStyle w:val="87"/>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系统应当严格按照国家网络安全等级保护三级标准相关要求，编制建设方案。</w:t>
      </w:r>
    </w:p>
    <w:p w14:paraId="6926C7F9">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8.6.12.1</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安全产品适配</w:t>
      </w:r>
    </w:p>
    <w:p w14:paraId="0FD29944">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器端操作系统是Windows系列的，应支持安装招标方现有的所有安全产品；服务器端操作系统是Linux系列的，应至少支持安装招标方现有的防病毒软件；服务器端操作系统是其他操作系统的，应当配合招标方开展安全产品适配工作。</w:t>
      </w:r>
    </w:p>
    <w:p w14:paraId="1D4E7835">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★8.6.12.2</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权限设置</w:t>
      </w:r>
    </w:p>
    <w:p w14:paraId="66664D10">
      <w:pPr>
        <w:pStyle w:val="82"/>
        <w:numPr>
          <w:ilvl w:val="0"/>
          <w:numId w:val="50"/>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系统不得具备超级管理员权限，管理员应按照安全保密管理规定要求分别设置”三员”（系统管理员、安全保密管理员、安全审计员）的权限，相互独立、相互制约；</w:t>
      </w:r>
    </w:p>
    <w:p w14:paraId="7DA74769">
      <w:pPr>
        <w:pStyle w:val="82"/>
        <w:numPr>
          <w:ilvl w:val="0"/>
          <w:numId w:val="50"/>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三员权限与业务用户权限相互独立，三员不得具有业务操作等用户权限；</w:t>
      </w:r>
    </w:p>
    <w:p w14:paraId="156B76DE">
      <w:pPr>
        <w:pStyle w:val="82"/>
        <w:numPr>
          <w:ilvl w:val="0"/>
          <w:numId w:val="50"/>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业务用户应支持细粒度的权限设置，不同角色的用户只能访问其权限范围内的数据。</w:t>
      </w:r>
    </w:p>
    <w:p w14:paraId="56BBCF88">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8.6.12.3</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身份鉴别</w:t>
      </w:r>
    </w:p>
    <w:p w14:paraId="7E1566AD">
      <w:pPr>
        <w:pStyle w:val="82"/>
        <w:numPr>
          <w:ilvl w:val="0"/>
          <w:numId w:val="5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系统需支持通过账号+密码+验证码的方式进行访问；</w:t>
      </w:r>
    </w:p>
    <w:p w14:paraId="1610E5A0">
      <w:pPr>
        <w:pStyle w:val="82"/>
        <w:numPr>
          <w:ilvl w:val="0"/>
          <w:numId w:val="5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用户身份标识符只能由系统管理员统一生成，不能被其他管理员创建、修改、删除，并确保在系统中的唯一；</w:t>
      </w:r>
    </w:p>
    <w:p w14:paraId="2145D875">
      <w:pPr>
        <w:pStyle w:val="82"/>
        <w:numPr>
          <w:ilvl w:val="0"/>
          <w:numId w:val="51"/>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应具有用户口令长度、复杂度、更改周期、重鉴别及鉴别失败锁定的策略，并支持对用户进行强制设置；</w:t>
      </w:r>
    </w:p>
    <w:p w14:paraId="0F8DD63A">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8.6.12.4</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访问控制</w:t>
      </w:r>
    </w:p>
    <w:p w14:paraId="4F601AC1">
      <w:pPr>
        <w:pStyle w:val="82"/>
        <w:numPr>
          <w:ilvl w:val="0"/>
          <w:numId w:val="52"/>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应支持细粒度的访问控制策略设置，主体控制到单个用户，客体控制到信息类别；</w:t>
      </w:r>
    </w:p>
    <w:p w14:paraId="34EF33FB">
      <w:pPr>
        <w:pStyle w:val="82"/>
        <w:numPr>
          <w:ilvl w:val="0"/>
          <w:numId w:val="52"/>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应支持依据业务类型、功能模块等对主体和客体进行分类，对主体访问客体进行最小授权；</w:t>
      </w:r>
    </w:p>
    <w:p w14:paraId="57AA042A">
      <w:pPr>
        <w:pStyle w:val="82"/>
        <w:numPr>
          <w:ilvl w:val="0"/>
          <w:numId w:val="52"/>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所有数据交换行为均应基于严格的权限管理与访问控制策略，并留存完整审计日志，严禁任何形式的未授权或不可控数据交换渠道。</w:t>
      </w:r>
    </w:p>
    <w:p w14:paraId="306EB340">
      <w:pPr>
        <w:pStyle w:val="82"/>
        <w:numPr>
          <w:ilvl w:val="0"/>
          <w:numId w:val="52"/>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通过网页访问系统应实现加密访问机制，不得直接使用“http" 访问。</w:t>
      </w:r>
    </w:p>
    <w:p w14:paraId="21DF589F">
      <w:pPr>
        <w:pStyle w:val="82"/>
        <w:numPr>
          <w:ilvl w:val="0"/>
          <w:numId w:val="52"/>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应支持通过验证码挑战、请求频率限制等技术手段，对疑似恶意爬虫的访问进行拦截或限制。</w:t>
      </w:r>
    </w:p>
    <w:p w14:paraId="10579259">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8.6.12.5</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安全审计</w:t>
      </w:r>
    </w:p>
    <w:p w14:paraId="0A9617DC">
      <w:pPr>
        <w:pStyle w:val="82"/>
        <w:numPr>
          <w:ilvl w:val="0"/>
          <w:numId w:val="5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应具备完善的日志审计功能，能够较为便捷地审计事件发生的时间、地点、类型、主体、客体和结果（成功或失败）等；</w:t>
      </w:r>
    </w:p>
    <w:p w14:paraId="3B1DF6E3">
      <w:pPr>
        <w:pStyle w:val="82"/>
        <w:numPr>
          <w:ilvl w:val="0"/>
          <w:numId w:val="5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审计功能必须强制开启且不可关闭，审计日志至少应包含用户增加、修改、删除，用户权限变更，“三员”的操作行为，用户操作行为，其它与系统安全有关的事件或专门定义的可审计事件；</w:t>
      </w:r>
    </w:p>
    <w:p w14:paraId="07954380">
      <w:pPr>
        <w:pStyle w:val="82"/>
        <w:numPr>
          <w:ilvl w:val="0"/>
          <w:numId w:val="5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审计日志应支持自定义分类、分级查看，对违规事件、异常事件等应能进行醒目标识及显示；</w:t>
      </w:r>
    </w:p>
    <w:p w14:paraId="044B4199">
      <w:pPr>
        <w:pStyle w:val="82"/>
        <w:numPr>
          <w:ilvl w:val="0"/>
          <w:numId w:val="5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审计日志不能被篡改或非授权删除，至少应能保存六个月，并支持导出；</w:t>
      </w:r>
    </w:p>
    <w:p w14:paraId="5620319E">
      <w:pPr>
        <w:pStyle w:val="82"/>
        <w:numPr>
          <w:ilvl w:val="0"/>
          <w:numId w:val="53"/>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当系统检测到安全威胁事件时，应能自动并即时通过邮件或短信等方式向管理员发送告警通知。</w:t>
      </w:r>
    </w:p>
    <w:p w14:paraId="2C1C6C97">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8.6.12.6</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时间管理</w:t>
      </w:r>
    </w:p>
    <w:p w14:paraId="597EAFCD">
      <w:pPr>
        <w:pStyle w:val="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具备时钟源同步功能，支持按照统一时间源自动修正系统时间。</w:t>
      </w:r>
    </w:p>
    <w:p w14:paraId="6C2B283B">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8.6.12.7</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信息存储及备份</w:t>
      </w:r>
    </w:p>
    <w:p w14:paraId="4EB35AB1">
      <w:pPr>
        <w:pStyle w:val="82"/>
        <w:numPr>
          <w:ilvl w:val="0"/>
          <w:numId w:val="54"/>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系统日志不能被篡改或非授权删除，至少能够保存6个月，并可以导出；</w:t>
      </w:r>
    </w:p>
    <w:p w14:paraId="51AB0A7F">
      <w:pPr>
        <w:pStyle w:val="82"/>
        <w:numPr>
          <w:ilvl w:val="0"/>
          <w:numId w:val="54"/>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应至少支持对重要数据、配置文件等进行加密存储，且不影响系统性能；</w:t>
      </w:r>
    </w:p>
    <w:p w14:paraId="29BE8DF1">
      <w:pPr>
        <w:pStyle w:val="82"/>
        <w:numPr>
          <w:ilvl w:val="0"/>
          <w:numId w:val="54"/>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系统支持每日全量数据备份策略。</w:t>
      </w:r>
    </w:p>
    <w:p w14:paraId="0E582E4C">
      <w:pPr>
        <w:pStyle w:val="299"/>
        <w:numPr>
          <w:ilvl w:val="3"/>
          <w:numId w:val="0"/>
        </w:numPr>
        <w:spacing w:before="156" w:after="1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8.6.12.8</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自身安全</w:t>
      </w:r>
    </w:p>
    <w:p w14:paraId="67F4C19E">
      <w:pPr>
        <w:pStyle w:val="82"/>
        <w:numPr>
          <w:ilvl w:val="0"/>
          <w:numId w:val="55"/>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系统不能有明显的隐患和漏洞，不能有意或无意设置相应后门及恶意代码；</w:t>
      </w:r>
    </w:p>
    <w:p w14:paraId="33B4CA74">
      <w:pPr>
        <w:pStyle w:val="82"/>
        <w:numPr>
          <w:ilvl w:val="0"/>
          <w:numId w:val="55"/>
        </w:numPr>
        <w:overflowPunct w:val="0"/>
        <w:adjustRightInd w:val="0"/>
        <w:snapToGrid w:val="0"/>
        <w:spacing w:line="360" w:lineRule="auto"/>
        <w:ind w:left="90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系统厂商或投标方应定期免费对系统安全漏洞进行修补、更新。</w:t>
      </w:r>
    </w:p>
    <w:p w14:paraId="39C787E0">
      <w:pPr>
        <w:pStyle w:val="82"/>
        <w:numPr>
          <w:ilvl w:val="0"/>
          <w:numId w:val="55"/>
        </w:numPr>
        <w:overflowPunct w:val="0"/>
        <w:adjustRightInd w:val="0"/>
        <w:snapToGrid w:val="0"/>
        <w:spacing w:line="360" w:lineRule="auto"/>
        <w:ind w:left="900" w:hanging="42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如系统后期需通过国家网络安全等级保护测评，投标方应免费协助招标方准备相关测评材料，并负责测评问题整改。</w:t>
      </w:r>
    </w:p>
    <w:p w14:paraId="36B1EAED">
      <w:pPr>
        <w:pStyle w:val="246"/>
        <w:numPr>
          <w:ilvl w:val="1"/>
          <w:numId w:val="0"/>
        </w:numPr>
        <w:spacing w:before="156" w:after="156"/>
        <w:rPr>
          <w:rFonts w:hint="eastAsia" w:ascii="宋体" w:hAnsi="宋体" w:eastAsia="宋体" w:cs="宋体"/>
          <w:bCs/>
          <w:color w:val="auto"/>
          <w:sz w:val="24"/>
          <w:szCs w:val="24"/>
          <w:highlight w:val="none"/>
        </w:rPr>
      </w:pPr>
      <w:bookmarkStart w:id="156" w:name="_Toc3704"/>
      <w:bookmarkStart w:id="157" w:name="_Toc16842"/>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9 验收</w:t>
      </w:r>
      <w:bookmarkEnd w:id="156"/>
    </w:p>
    <w:p w14:paraId="628E4E7A">
      <w:pPr>
        <w:pStyle w:val="8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设备验收由双方共同参加，依以下程序完成：</w:t>
      </w:r>
    </w:p>
    <w:p w14:paraId="3A6BAFCA">
      <w:pPr>
        <w:pStyle w:val="259"/>
        <w:numPr>
          <w:ilvl w:val="0"/>
          <w:numId w:val="0"/>
        </w:numPr>
        <w:ind w:left="964" w:hanging="482"/>
        <w:rPr>
          <w:rFonts w:hint="eastAsia" w:ascii="宋体" w:hAnsi="宋体" w:eastAsia="宋体" w:cs="宋体"/>
          <w:color w:val="auto"/>
          <w:sz w:val="24"/>
          <w:szCs w:val="24"/>
          <w:highlight w:val="none"/>
        </w:rPr>
      </w:pPr>
      <w:bookmarkStart w:id="158" w:name="_Hlk195042243"/>
      <w:r>
        <w:rPr>
          <w:rFonts w:hint="eastAsia" w:ascii="宋体" w:hAnsi="宋体" w:eastAsia="宋体" w:cs="宋体"/>
          <w:color w:val="auto"/>
          <w:sz w:val="24"/>
          <w:szCs w:val="24"/>
          <w:highlight w:val="none"/>
        </w:rPr>
        <w:t>a)</w:t>
      </w:r>
      <w:r>
        <w:rPr>
          <w:rFonts w:hint="eastAsia" w:ascii="宋体" w:hAnsi="宋体" w:eastAsia="宋体" w:cs="宋体"/>
          <w:bCs/>
          <w:color w:val="auto"/>
          <w:sz w:val="24"/>
          <w:szCs w:val="24"/>
          <w:highlight w:val="none"/>
        </w:rPr>
        <w:t>招标方</w:t>
      </w:r>
      <w:r>
        <w:rPr>
          <w:rFonts w:hint="eastAsia" w:ascii="宋体" w:hAnsi="宋体" w:eastAsia="宋体" w:cs="宋体"/>
          <w:color w:val="auto"/>
          <w:sz w:val="24"/>
          <w:szCs w:val="24"/>
          <w:highlight w:val="none"/>
        </w:rPr>
        <w:t>按照技术要求编制验收测试大纲作为验收依据；</w:t>
      </w:r>
    </w:p>
    <w:bookmarkEnd w:id="158"/>
    <w:p w14:paraId="4CC62CA9">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b)按照第13章随机文件要求完成齐套性验收；</w:t>
      </w:r>
    </w:p>
    <w:p w14:paraId="69AC20FD">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w:t>
      </w:r>
      <w:r>
        <w:rPr>
          <w:rFonts w:hint="eastAsia" w:ascii="宋体" w:hAnsi="宋体" w:eastAsia="宋体" w:cs="宋体"/>
          <w:bCs/>
          <w:color w:val="auto"/>
          <w:sz w:val="24"/>
          <w:szCs w:val="24"/>
          <w:highlight w:val="none"/>
        </w:rPr>
        <w:t>投标方</w:t>
      </w:r>
      <w:r>
        <w:rPr>
          <w:rFonts w:hint="eastAsia" w:ascii="宋体" w:hAnsi="宋体" w:eastAsia="宋体" w:cs="宋体"/>
          <w:color w:val="auto"/>
          <w:sz w:val="24"/>
          <w:szCs w:val="24"/>
          <w:highlight w:val="none"/>
        </w:rPr>
        <w:t>应保证验收时产品文档齐全，系统处于良好运行状态且性能和技术参数达到合同要求；</w:t>
      </w:r>
    </w:p>
    <w:p w14:paraId="0B7A82B3">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d)软件安装成功能够正常使用后，</w:t>
      </w:r>
      <w:r>
        <w:rPr>
          <w:rFonts w:hint="eastAsia" w:ascii="宋体" w:hAnsi="宋体" w:eastAsia="宋体" w:cs="宋体"/>
          <w:bCs/>
          <w:color w:val="auto"/>
          <w:sz w:val="24"/>
          <w:szCs w:val="24"/>
          <w:highlight w:val="none"/>
        </w:rPr>
        <w:t>投标方</w:t>
      </w:r>
      <w:r>
        <w:rPr>
          <w:rFonts w:hint="eastAsia" w:ascii="宋体" w:hAnsi="宋体" w:eastAsia="宋体" w:cs="宋体"/>
          <w:color w:val="auto"/>
          <w:sz w:val="24"/>
          <w:szCs w:val="24"/>
          <w:highlight w:val="none"/>
        </w:rPr>
        <w:t>须对招标方技术人员进行技术培训。待培训完成后双方签订验收报告。验收报告一式两份，双方各持一份，作为验收完成的依据。</w:t>
      </w:r>
    </w:p>
    <w:p w14:paraId="2FE9DEAF">
      <w:pPr>
        <w:pStyle w:val="246"/>
        <w:numPr>
          <w:ilvl w:val="1"/>
          <w:numId w:val="0"/>
        </w:numPr>
        <w:spacing w:before="156" w:after="156"/>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10 质量保证</w:t>
      </w:r>
      <w:bookmarkEnd w:id="157"/>
    </w:p>
    <w:p w14:paraId="3A10A09D">
      <w:pPr>
        <w:pStyle w:val="8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质量保证</w:t>
      </w:r>
      <w:r>
        <w:rPr>
          <w:rFonts w:hint="eastAsia" w:ascii="宋体" w:hAnsi="宋体" w:eastAsia="宋体" w:cs="宋体"/>
          <w:color w:val="auto"/>
          <w:sz w:val="24"/>
          <w:szCs w:val="24"/>
          <w:highlight w:val="none"/>
        </w:rPr>
        <w:t>要求如下：</w:t>
      </w:r>
    </w:p>
    <w:p w14:paraId="2AEE73FD">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a)投标方确保提供的产品能够满足招标方的功能使用需求，交付产品与技术要求文件产品的型号、规格、数量一致。若有配件少项等情况，由投标方免费提供；</w:t>
      </w:r>
    </w:p>
    <w:p w14:paraId="18E4794B">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b)投标方确保安装的软件为当前最新版本，且软件版本受控，纳入投标方配置管理；</w:t>
      </w:r>
    </w:p>
    <w:p w14:paraId="100DF78F">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c)投标方保证招标为本项目开发涉及的设计、开发、安装的软件为合法、正版的原厂软件，并提供使用软件的正版承诺书；</w:t>
      </w:r>
    </w:p>
    <w:p w14:paraId="02DEDD1A">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d)投标方应证明本项目所使用的知识产权符合法律、法规规定，不侵犯任何第三方的知识产权，并提供不侵权承诺书；</w:t>
      </w:r>
    </w:p>
    <w:p w14:paraId="3AD4F21B">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e)投标方负责软件的安装、调试，达到规定的技术指标和功能要求，并正常工作。</w:t>
      </w:r>
    </w:p>
    <w:p w14:paraId="06DE27E0">
      <w:pPr>
        <w:pStyle w:val="246"/>
        <w:numPr>
          <w:ilvl w:val="1"/>
          <w:numId w:val="0"/>
        </w:numPr>
        <w:spacing w:before="156" w:after="156"/>
        <w:rPr>
          <w:rFonts w:hint="eastAsia" w:ascii="宋体" w:hAnsi="宋体" w:eastAsia="宋体" w:cs="宋体"/>
          <w:bCs/>
          <w:color w:val="auto"/>
          <w:sz w:val="24"/>
          <w:szCs w:val="24"/>
          <w:highlight w:val="none"/>
        </w:rPr>
      </w:pPr>
      <w:bookmarkStart w:id="159" w:name="_Toc20264"/>
      <w:bookmarkStart w:id="160" w:name="_Toc26366"/>
      <w:r>
        <w:rPr>
          <w:rFonts w:hint="eastAsia" w:ascii="宋体" w:hAnsi="宋体" w:eastAsia="宋体" w:cs="宋体"/>
          <w:bCs/>
          <w:color w:val="auto"/>
          <w:sz w:val="24"/>
          <w:szCs w:val="24"/>
          <w:highlight w:val="none"/>
        </w:rPr>
        <w:t>11 培训</w:t>
      </w:r>
      <w:bookmarkEnd w:id="159"/>
    </w:p>
    <w:p w14:paraId="4F482647">
      <w:pPr>
        <w:pStyle w:val="87"/>
        <w:spacing w:before="156" w:after="156"/>
        <w:rPr>
          <w:rFonts w:hint="eastAsia" w:ascii="宋体" w:hAnsi="宋体" w:eastAsia="宋体" w:cs="宋体"/>
          <w:color w:val="auto"/>
          <w:sz w:val="24"/>
          <w:szCs w:val="24"/>
          <w:highlight w:val="none"/>
        </w:rPr>
      </w:pPr>
      <w:bookmarkStart w:id="161" w:name="OLE_LINK3"/>
      <w:bookmarkStart w:id="162" w:name="OLE_LINK4"/>
      <w:r>
        <w:rPr>
          <w:rFonts w:hint="eastAsia" w:ascii="宋体" w:hAnsi="宋体" w:eastAsia="宋体" w:cs="宋体"/>
          <w:color w:val="auto"/>
          <w:sz w:val="24"/>
          <w:szCs w:val="24"/>
          <w:highlight w:val="none"/>
        </w:rPr>
        <w:t>培训要求如下：</w:t>
      </w:r>
    </w:p>
    <w:p w14:paraId="1DF160D7">
      <w:pPr>
        <w:pStyle w:val="87"/>
        <w:numPr>
          <w:ilvl w:val="0"/>
          <w:numId w:val="56"/>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方需要制定详细的培训方案，并制作全套的培训资料，该资料要求包含但不仅限于:最终客户培训、业务培训、系统应用培训、系统管理员培训、系统架构原理培训、数据库管理培训、业务管理员培训、软件安装配置培训等，并提供全套培训文件（纸质资料和电子资料）。</w:t>
      </w:r>
    </w:p>
    <w:p w14:paraId="501CD2EC">
      <w:pPr>
        <w:pStyle w:val="87"/>
        <w:numPr>
          <w:ilvl w:val="0"/>
          <w:numId w:val="56"/>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现场培训：针对不同层次人员分别进行培训。</w:t>
      </w:r>
    </w:p>
    <w:p w14:paraId="7CD49820">
      <w:pPr>
        <w:pStyle w:val="87"/>
        <w:numPr>
          <w:ilvl w:val="0"/>
          <w:numId w:val="56"/>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用户培训：受培训人员在培训后能熟练进行业务操作，并能达到可以继续为其他人作培训的能力。</w:t>
      </w:r>
    </w:p>
    <w:p w14:paraId="02DCEF27">
      <w:pPr>
        <w:pStyle w:val="87"/>
        <w:numPr>
          <w:ilvl w:val="0"/>
          <w:numId w:val="56"/>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技术培训：最终招标方的技术人员应能独立完成系统运行、二次开发、报表开发、接口开发、运维等相关的技术工作。</w:t>
      </w:r>
    </w:p>
    <w:p w14:paraId="7F459F2F">
      <w:pPr>
        <w:pStyle w:val="87"/>
        <w:numPr>
          <w:ilvl w:val="0"/>
          <w:numId w:val="56"/>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培训时长：至少40小时。</w:t>
      </w:r>
    </w:p>
    <w:p w14:paraId="70CF5174">
      <w:pPr>
        <w:pStyle w:val="87"/>
        <w:numPr>
          <w:ilvl w:val="0"/>
          <w:numId w:val="56"/>
        </w:numPr>
        <w:spacing w:before="156" w:after="156"/>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招标方日后对该软件有二次培训需求，投标方将为招标方无条件提供二次培训。培训后应由招标方对培训效果进行签字确认。</w:t>
      </w:r>
    </w:p>
    <w:bookmarkEnd w:id="161"/>
    <w:bookmarkEnd w:id="162"/>
    <w:p w14:paraId="2DB4C36E">
      <w:pPr>
        <w:pStyle w:val="259"/>
        <w:numPr>
          <w:ilvl w:val="0"/>
          <w:numId w:val="0"/>
        </w:numPr>
        <w:ind w:left="964" w:hanging="482"/>
        <w:rPr>
          <w:rFonts w:hint="eastAsia" w:ascii="宋体" w:hAnsi="宋体" w:eastAsia="宋体" w:cs="宋体"/>
          <w:color w:val="auto"/>
          <w:sz w:val="24"/>
          <w:szCs w:val="24"/>
          <w:highlight w:val="none"/>
        </w:rPr>
      </w:pPr>
    </w:p>
    <w:p w14:paraId="7C54137E">
      <w:pPr>
        <w:pStyle w:val="246"/>
        <w:numPr>
          <w:ilvl w:val="1"/>
          <w:numId w:val="0"/>
        </w:numPr>
        <w:spacing w:before="156" w:after="15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12 保修及售后服务</w:t>
      </w:r>
      <w:bookmarkEnd w:id="160"/>
    </w:p>
    <w:p w14:paraId="407CB68B">
      <w:pPr>
        <w:pStyle w:val="87"/>
        <w:rPr>
          <w:rFonts w:hint="eastAsia" w:ascii="宋体" w:hAnsi="宋体" w:eastAsia="宋体" w:cs="宋体"/>
          <w:color w:val="auto"/>
          <w:sz w:val="24"/>
          <w:szCs w:val="24"/>
          <w:highlight w:val="none"/>
        </w:rPr>
      </w:pPr>
      <w:bookmarkStart w:id="163" w:name="_Hlk195553239"/>
      <w:r>
        <w:rPr>
          <w:rFonts w:hint="eastAsia" w:ascii="宋体" w:hAnsi="宋体" w:eastAsia="宋体" w:cs="宋体"/>
          <w:color w:val="auto"/>
          <w:sz w:val="24"/>
          <w:szCs w:val="24"/>
          <w:highlight w:val="none"/>
        </w:rPr>
        <w:t>保修及售后服务要求如下：</w:t>
      </w:r>
    </w:p>
    <w:p w14:paraId="0B73D063">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a)投标方应制定产品运行维护计划；</w:t>
      </w:r>
    </w:p>
    <w:p w14:paraId="750E09ED">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方应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直至问题解决。</w:t>
      </w:r>
    </w:p>
    <w:p w14:paraId="369FD07E">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c)投标方应不定期向招标方提供含有软件最新功能描述、软件使用技巧、用户实例、最新研究动态等内容的相关资料；</w:t>
      </w:r>
    </w:p>
    <w:p w14:paraId="2C0E544E">
      <w:pPr>
        <w:pStyle w:val="259"/>
        <w:numPr>
          <w:ilvl w:val="0"/>
          <w:numId w:val="0"/>
        </w:numPr>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d)系统验收测试合格后，投标方应提供全系统</w:t>
      </w:r>
      <w:r>
        <w:rPr>
          <w:rFonts w:hint="eastAsia" w:ascii="宋体" w:hAnsi="宋体" w:eastAsia="宋体" w:cs="宋体"/>
          <w:b/>
          <w:color w:val="auto"/>
          <w:sz w:val="24"/>
          <w:szCs w:val="24"/>
          <w:highlight w:val="none"/>
          <w:u w:val="single"/>
        </w:rPr>
        <w:t>三</w:t>
      </w:r>
      <w:r>
        <w:rPr>
          <w:rFonts w:hint="eastAsia" w:ascii="宋体" w:hAnsi="宋体" w:eastAsia="宋体" w:cs="宋体"/>
          <w:b/>
          <w:color w:val="auto"/>
          <w:sz w:val="24"/>
          <w:szCs w:val="24"/>
          <w:highlight w:val="none"/>
        </w:rPr>
        <w:t>年</w:t>
      </w:r>
      <w:r>
        <w:rPr>
          <w:rFonts w:hint="eastAsia" w:ascii="宋体" w:hAnsi="宋体" w:eastAsia="宋体" w:cs="宋体"/>
          <w:color w:val="auto"/>
          <w:sz w:val="24"/>
          <w:szCs w:val="24"/>
          <w:highlight w:val="none"/>
        </w:rPr>
        <w:t>的质保期。保修期内由于设备自身质量问题引发的任何问题或故障，将免费更换和维修，提供设备使用软件的免费升级服务，免费提供1年内系统升级服务，保证招标方使用的为最新版本。</w:t>
      </w:r>
    </w:p>
    <w:p w14:paraId="04E4BFF8">
      <w:pPr>
        <w:pStyle w:val="87"/>
        <w:ind w:lef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除上述要求外，网站的提供方还应提供：</w:t>
      </w:r>
    </w:p>
    <w:bookmarkEnd w:id="163"/>
    <w:p w14:paraId="00D4FD72">
      <w:pPr>
        <w:pStyle w:val="87"/>
        <w:numPr>
          <w:ilvl w:val="0"/>
          <w:numId w:val="57"/>
        </w:numPr>
        <w:ind w:left="902"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运维服务：</w:t>
      </w:r>
      <w:r>
        <w:rPr>
          <w:rFonts w:hint="eastAsia" w:ascii="宋体" w:hAnsi="宋体" w:eastAsia="宋体" w:cs="宋体"/>
          <w:bCs/>
          <w:color w:val="auto"/>
          <w:sz w:val="24"/>
          <w:szCs w:val="24"/>
          <w:highlight w:val="none"/>
        </w:rPr>
        <w:t>包括但不限于</w:t>
      </w:r>
      <w:r>
        <w:rPr>
          <w:rFonts w:hint="eastAsia" w:ascii="宋体" w:hAnsi="宋体" w:eastAsia="宋体" w:cs="宋体"/>
          <w:color w:val="auto"/>
          <w:sz w:val="24"/>
          <w:szCs w:val="24"/>
          <w:highlight w:val="none"/>
        </w:rPr>
        <w:t>栏目/内容/流程配置、数据初始化、历史数据迁移、软件开发及安装部署、联调测试、UAT配合、验收等；包含业务部门的实施、培训、答疑、售后等；包含试运行期间优化需求完善。</w:t>
      </w:r>
    </w:p>
    <w:p w14:paraId="15B6FCDE">
      <w:pPr>
        <w:pStyle w:val="87"/>
        <w:numPr>
          <w:ilvl w:val="0"/>
          <w:numId w:val="57"/>
        </w:numPr>
        <w:ind w:firstLineChars="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维保服务包括但不限于https证书续约、域名续约、网站源代码运行所需函数库升级、网站及网站运行所需环境（运行容器、中间件、开发语言、数据库、操作系统等）所有安全相关漏洞的处理，以及影响网站安全稳定运行的所有问题处理。投标方需保证对招标方不定期漏洞扫描、外部单位安全检查等发现的问题及后续使用过程中出现的问题及时完成处理。</w:t>
      </w:r>
    </w:p>
    <w:p w14:paraId="766F0FBE">
      <w:pPr>
        <w:pStyle w:val="87"/>
        <w:numPr>
          <w:ilvl w:val="0"/>
          <w:numId w:val="57"/>
        </w:numPr>
        <w:ind w:firstLineChars="0"/>
        <w:rPr>
          <w:rFonts w:hint="eastAsia" w:ascii="宋体" w:hAnsi="宋体" w:eastAsia="宋体" w:cs="宋体"/>
          <w:bCs w:val="0"/>
          <w:color w:val="auto"/>
          <w:sz w:val="24"/>
          <w:szCs w:val="24"/>
          <w:highlight w:val="none"/>
        </w:rPr>
      </w:pP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为</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提供7X24小时技术响应，针对</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提出的技术问题，0.5小时内通过电话、邮件、远程协助以及现场服务等方式进行解答；</w:t>
      </w:r>
    </w:p>
    <w:p w14:paraId="1DBBE0B0">
      <w:pPr>
        <w:pStyle w:val="87"/>
        <w:numPr>
          <w:ilvl w:val="0"/>
          <w:numId w:val="57"/>
        </w:numPr>
        <w:ind w:hanging="440" w:firstLineChars="0"/>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对于一般性故障（不影响系统整体运行），</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将在接到故障通知2小时内给予答复，指导</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技术人员排除故障，使系统运行和使用恢复正常；</w:t>
      </w:r>
    </w:p>
    <w:p w14:paraId="4BA792BC">
      <w:pPr>
        <w:pStyle w:val="87"/>
        <w:numPr>
          <w:ilvl w:val="0"/>
          <w:numId w:val="57"/>
        </w:numPr>
        <w:ind w:hanging="440" w:firstLineChars="0"/>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对于严重故障（影响系统整体）或远程指导无法解决的故障，</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将在接到故障通知后，指派技术人员在3小时内到达现场，为</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解决问题，使系统运行和使用恢复正常，并提供详细故障分析和排除报告；</w:t>
      </w:r>
    </w:p>
    <w:p w14:paraId="76B5051E">
      <w:pPr>
        <w:pStyle w:val="87"/>
        <w:numPr>
          <w:ilvl w:val="0"/>
          <w:numId w:val="57"/>
        </w:numPr>
        <w:ind w:hanging="440" w:firstLineChars="0"/>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若因非</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自身原因造成系统不能正常运行时，</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将负责系统的修改和维护，由此发生的一切费用由</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承担；</w:t>
      </w:r>
    </w:p>
    <w:p w14:paraId="19925366">
      <w:pPr>
        <w:pStyle w:val="87"/>
        <w:numPr>
          <w:ilvl w:val="0"/>
          <w:numId w:val="57"/>
        </w:numPr>
        <w:ind w:firstLineChars="0"/>
        <w:rPr>
          <w:rFonts w:hint="eastAsia" w:ascii="宋体" w:hAnsi="宋体" w:eastAsia="宋体" w:cs="宋体"/>
          <w:bCs w:val="0"/>
          <w:color w:val="auto"/>
          <w:sz w:val="24"/>
          <w:szCs w:val="24"/>
          <w:highlight w:val="none"/>
        </w:rPr>
      </w:pP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如果对系统进行纠错版本的升级，应提前通知</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w:t>
      </w:r>
    </w:p>
    <w:p w14:paraId="1D964181">
      <w:pPr>
        <w:pStyle w:val="87"/>
        <w:numPr>
          <w:ilvl w:val="0"/>
          <w:numId w:val="57"/>
        </w:numPr>
        <w:ind w:firstLineChars="0"/>
        <w:rPr>
          <w:rFonts w:hint="eastAsia" w:ascii="宋体" w:hAnsi="宋体" w:eastAsia="宋体" w:cs="宋体"/>
          <w:bCs w:val="0"/>
          <w:color w:val="auto"/>
          <w:sz w:val="24"/>
          <w:szCs w:val="24"/>
          <w:highlight w:val="none"/>
        </w:rPr>
      </w:pP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将根据</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的需要免费提供产品升级维护服务和正常的补丁维护服务；</w:t>
      </w:r>
    </w:p>
    <w:p w14:paraId="616F4EEB">
      <w:pPr>
        <w:pStyle w:val="87"/>
        <w:numPr>
          <w:ilvl w:val="0"/>
          <w:numId w:val="57"/>
        </w:numPr>
        <w:ind w:hanging="440" w:firstLineChars="0"/>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如果</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接到故障信息后在合同规定时间内没有以合理的速度弥补缺陷，</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可自行采取必要的补救措施，但其风险和费用将由</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承担，</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根据合同规定能够对</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行使的其他权力不受影响；</w:t>
      </w:r>
    </w:p>
    <w:p w14:paraId="06337E5E">
      <w:pPr>
        <w:pStyle w:val="87"/>
        <w:numPr>
          <w:ilvl w:val="0"/>
          <w:numId w:val="57"/>
        </w:numPr>
        <w:ind w:hanging="440" w:firstLineChars="0"/>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在正式许可授权安装完成前，</w:t>
      </w:r>
      <w:r>
        <w:rPr>
          <w:rFonts w:hint="eastAsia" w:ascii="宋体" w:hAnsi="宋体" w:eastAsia="宋体" w:cs="宋体"/>
          <w:color w:val="auto"/>
          <w:sz w:val="24"/>
          <w:szCs w:val="24"/>
          <w:highlight w:val="none"/>
        </w:rPr>
        <w:t>投标方</w:t>
      </w:r>
      <w:r>
        <w:rPr>
          <w:rFonts w:hint="eastAsia" w:ascii="宋体" w:hAnsi="宋体" w:eastAsia="宋体" w:cs="宋体"/>
          <w:bCs w:val="0"/>
          <w:color w:val="auto"/>
          <w:sz w:val="24"/>
          <w:szCs w:val="24"/>
          <w:highlight w:val="none"/>
        </w:rPr>
        <w:t>将根据</w:t>
      </w:r>
      <w:r>
        <w:rPr>
          <w:rFonts w:hint="eastAsia" w:ascii="宋体" w:hAnsi="宋体" w:eastAsia="宋体" w:cs="宋体"/>
          <w:color w:val="auto"/>
          <w:sz w:val="24"/>
          <w:szCs w:val="24"/>
          <w:highlight w:val="none"/>
        </w:rPr>
        <w:t>招标方</w:t>
      </w:r>
      <w:r>
        <w:rPr>
          <w:rFonts w:hint="eastAsia" w:ascii="宋体" w:hAnsi="宋体" w:eastAsia="宋体" w:cs="宋体"/>
          <w:bCs w:val="0"/>
          <w:color w:val="auto"/>
          <w:sz w:val="24"/>
          <w:szCs w:val="24"/>
          <w:highlight w:val="none"/>
        </w:rPr>
        <w:t>需求无条件的提供临时许可授权；</w:t>
      </w:r>
    </w:p>
    <w:p w14:paraId="2E6AB06E">
      <w:pPr>
        <w:pStyle w:val="87"/>
        <w:numPr>
          <w:ilvl w:val="0"/>
          <w:numId w:val="57"/>
        </w:numPr>
        <w:ind w:hanging="440" w:firstLineChars="0"/>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在质保期到期后，投标方仍能提供问题答疑、一般性技术支持等常规服务；投标方需说明并承诺质保期期满后的服务费率能以优惠的价格提供服务。</w:t>
      </w:r>
    </w:p>
    <w:p w14:paraId="20C3D301">
      <w:pPr>
        <w:pStyle w:val="87"/>
        <w:overflowPunct w:val="0"/>
        <w:adjustRightInd w:val="0"/>
        <w:snapToGrid w:val="0"/>
        <w:ind w:left="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13 </w:t>
      </w:r>
      <w:r>
        <w:rPr>
          <w:rFonts w:hint="eastAsia" w:ascii="宋体" w:hAnsi="宋体" w:eastAsia="宋体" w:cs="宋体"/>
          <w:color w:val="auto"/>
          <w:sz w:val="24"/>
          <w:szCs w:val="24"/>
          <w:highlight w:val="none"/>
        </w:rPr>
        <w:t>产品及相关资料的交付投标方保证提供的产品与本协议所约定相符(可以高于合同预定的版本)，投标方按照合同条款发货到用户现场，交货清单包含但不限于:</w:t>
      </w:r>
    </w:p>
    <w:p w14:paraId="3F0B8B26">
      <w:pPr>
        <w:pStyle w:val="259"/>
        <w:numPr>
          <w:ilvl w:val="0"/>
          <w:numId w:val="0"/>
        </w:numPr>
        <w:overflowPunct w:val="0"/>
        <w:adjustRightInd w:val="0"/>
        <w:snapToGrid w:val="0"/>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（1）按照本协议约定的所有软、硬件产品。</w:t>
      </w:r>
    </w:p>
    <w:p w14:paraId="5BE81598">
      <w:pPr>
        <w:pStyle w:val="259"/>
        <w:numPr>
          <w:ilvl w:val="0"/>
          <w:numId w:val="0"/>
        </w:numPr>
        <w:overflowPunct w:val="0"/>
        <w:adjustRightInd w:val="0"/>
        <w:snapToGrid w:val="0"/>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（2）软件安装程序一套(光盘)。</w:t>
      </w:r>
    </w:p>
    <w:p w14:paraId="44C932D0">
      <w:pPr>
        <w:pStyle w:val="259"/>
        <w:numPr>
          <w:ilvl w:val="0"/>
          <w:numId w:val="0"/>
        </w:numPr>
        <w:overflowPunct w:val="0"/>
        <w:adjustRightInd w:val="0"/>
        <w:snapToGrid w:val="0"/>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（3）license 授权文件(纸质、电子版)。</w:t>
      </w:r>
    </w:p>
    <w:p w14:paraId="0E62BC55">
      <w:pPr>
        <w:pStyle w:val="259"/>
        <w:numPr>
          <w:ilvl w:val="0"/>
          <w:numId w:val="0"/>
        </w:numPr>
        <w:overflowPunct w:val="0"/>
        <w:adjustRightInd w:val="0"/>
        <w:snapToGrid w:val="0"/>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（4）软件安装手册一套。</w:t>
      </w:r>
    </w:p>
    <w:p w14:paraId="4C1C8FD2">
      <w:pPr>
        <w:pStyle w:val="259"/>
        <w:numPr>
          <w:ilvl w:val="0"/>
          <w:numId w:val="0"/>
        </w:numPr>
        <w:overflowPunct w:val="0"/>
        <w:adjustRightInd w:val="0"/>
        <w:snapToGrid w:val="0"/>
        <w:ind w:left="964" w:hanging="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bookmarkStart w:id="164" w:name="OLE_LINK5"/>
      <w:r>
        <w:rPr>
          <w:rFonts w:hint="eastAsia" w:ascii="宋体" w:hAnsi="宋体" w:eastAsia="宋体" w:cs="宋体"/>
          <w:color w:val="auto"/>
          <w:sz w:val="24"/>
          <w:szCs w:val="24"/>
          <w:highlight w:val="none"/>
        </w:rPr>
        <w:t>文件编制工具项目文档，包括不限于用户手册培训记录、试运行报告、验收报告、定制化开发源代码包等文档及资料</w:t>
      </w:r>
      <w:bookmarkEnd w:id="164"/>
      <w:r>
        <w:rPr>
          <w:rFonts w:hint="eastAsia" w:ascii="宋体" w:hAnsi="宋体" w:eastAsia="宋体" w:cs="宋体"/>
          <w:color w:val="auto"/>
          <w:sz w:val="24"/>
          <w:szCs w:val="24"/>
          <w:highlight w:val="none"/>
        </w:rPr>
        <w:t>；</w:t>
      </w:r>
    </w:p>
    <w:p w14:paraId="29D08691">
      <w:pPr>
        <w:pStyle w:val="259"/>
        <w:numPr>
          <w:ilvl w:val="0"/>
          <w:numId w:val="0"/>
        </w:numPr>
        <w:overflowPunct w:val="0"/>
        <w:adjustRightInd w:val="0"/>
        <w:snapToGrid w:val="0"/>
        <w:ind w:left="964" w:hanging="482"/>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6）公司网站项目文档，包括不限于需求调研计划、需求调研报告、需求规格说明书、UI设计图、蓝图设计、详细设计、测试大纲、测试报告、定制化开发源代码包、开发说明书一套、用户手册、管理员手册、渗透测试报告及问题整改报告、培训记录、试运行报告、验收报告等。</w:t>
      </w:r>
    </w:p>
    <w:p w14:paraId="327312C3">
      <w:pPr>
        <w:overflowPunct w:val="0"/>
        <w:adjustRightInd w:val="0"/>
        <w:snapToGrid w:val="0"/>
        <w:spacing w:line="360" w:lineRule="auto"/>
        <w:ind w:firstLine="480" w:firstLineChars="200"/>
        <w:jc w:val="center"/>
        <w:rPr>
          <w:rFonts w:hint="eastAsia" w:ascii="宋体" w:hAnsi="宋体" w:eastAsia="宋体" w:cs="宋体"/>
          <w:color w:val="auto"/>
          <w:sz w:val="24"/>
          <w:szCs w:val="24"/>
          <w:highlight w:val="none"/>
        </w:rPr>
      </w:pPr>
    </w:p>
    <w:p w14:paraId="72BEE81C">
      <w:pPr>
        <w:overflowPunct w:val="0"/>
        <w:adjustRightInd w:val="0"/>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color w:val="auto"/>
          <w:sz w:val="24"/>
          <w:szCs w:val="24"/>
          <w:highlight w:val="none"/>
        </w:rPr>
        <w:t xml:space="preserve">4 </w:t>
      </w:r>
      <w:r>
        <w:rPr>
          <w:rFonts w:hint="eastAsia" w:ascii="宋体" w:hAnsi="宋体" w:eastAsia="宋体" w:cs="宋体"/>
          <w:b w:val="0"/>
          <w:bCs w:val="0"/>
          <w:color w:val="auto"/>
          <w:sz w:val="24"/>
          <w:szCs w:val="24"/>
          <w:highlight w:val="none"/>
        </w:rPr>
        <w:t>保密协定</w:t>
      </w:r>
    </w:p>
    <w:p w14:paraId="6AF1F719">
      <w:pPr>
        <w:overflowPunct w:val="0"/>
        <w:adjustRightInd w:val="0"/>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方从应标阶段开始，应严格遵守《中华人民共和国保守国家秘密法》及《民法典》相关规定，对合同条款、技术协议内容、项目金额价格、招标方产品需求分析、定制成果及其他文档等承担永久保密义务。保密信息涵盖项目全流程涉密要素，包括但不限于：项目背景、需求分析及方案设计、技术参数与预算数据、实施过程中接触的网络架构、技术路线、系统数据及业务流程等敏感信息，以及所有载体的敏感信息（如文字记录、音像制品等）。未经招标方书面许可，投标方不得向第三方披露保密信息，且须在合作终止时立即归还或销毁全部保密资料，不得保留复制件。合作终止后投标方仍须持续履行保密义务，如因泄密造成损失，招标方将依法追究投标方经济及刑事责任。</w:t>
      </w:r>
    </w:p>
    <w:p w14:paraId="28F973A2">
      <w:pPr>
        <w:jc w:val="center"/>
        <w:rPr>
          <w:rFonts w:hint="eastAsia" w:ascii="宋体" w:hAnsi="宋体" w:eastAsia="宋体" w:cs="宋体"/>
          <w:b/>
          <w:bCs/>
          <w:color w:val="auto"/>
          <w:sz w:val="30"/>
          <w:szCs w:val="30"/>
          <w:highlight w:val="none"/>
        </w:rPr>
      </w:pPr>
    </w:p>
    <w:p w14:paraId="526C183A">
      <w:pPr>
        <w:jc w:val="center"/>
        <w:rPr>
          <w:rFonts w:hint="eastAsia" w:ascii="宋体" w:hAnsi="宋体" w:eastAsia="宋体" w:cs="宋体"/>
          <w:b/>
          <w:bCs/>
          <w:color w:val="auto"/>
          <w:sz w:val="30"/>
          <w:szCs w:val="30"/>
          <w:highlight w:val="none"/>
        </w:rPr>
      </w:pPr>
    </w:p>
    <w:p w14:paraId="07401DB9">
      <w:pPr>
        <w:jc w:val="center"/>
        <w:rPr>
          <w:rFonts w:hint="eastAsia" w:ascii="宋体" w:hAnsi="宋体" w:eastAsia="宋体" w:cs="宋体"/>
          <w:color w:val="auto"/>
          <w:highlight w:val="none"/>
        </w:rPr>
      </w:pPr>
      <w:r>
        <w:rPr>
          <w:rFonts w:hint="eastAsia" w:ascii="宋体" w:hAnsi="宋体" w:eastAsia="宋体" w:cs="宋体"/>
          <w:b/>
          <w:bCs/>
          <w:color w:val="auto"/>
          <w:sz w:val="30"/>
          <w:szCs w:val="30"/>
          <w:highlight w:val="none"/>
        </w:rPr>
        <w:br w:type="page"/>
      </w:r>
    </w:p>
    <w:p w14:paraId="08B7AC66">
      <w:pPr>
        <w:autoSpaceDE w:val="0"/>
        <w:autoSpaceDN w:val="0"/>
        <w:adjustRightInd w:val="0"/>
        <w:spacing w:line="400" w:lineRule="exact"/>
        <w:jc w:val="center"/>
        <w:outlineLvl w:val="0"/>
        <w:rPr>
          <w:rFonts w:hint="eastAsia" w:ascii="宋体" w:hAnsi="宋体" w:eastAsia="宋体" w:cs="宋体"/>
          <w:b/>
          <w:color w:val="auto"/>
          <w:kern w:val="0"/>
          <w:sz w:val="36"/>
          <w:szCs w:val="36"/>
          <w:highlight w:val="none"/>
        </w:rPr>
      </w:pPr>
      <w:bookmarkStart w:id="165" w:name="_Toc24112427"/>
      <w:bookmarkStart w:id="166" w:name="_Toc13935"/>
      <w:r>
        <w:rPr>
          <w:rFonts w:hint="eastAsia" w:ascii="宋体" w:hAnsi="宋体" w:eastAsia="宋体" w:cs="宋体"/>
          <w:b/>
          <w:color w:val="auto"/>
          <w:kern w:val="0"/>
          <w:sz w:val="36"/>
          <w:szCs w:val="36"/>
          <w:highlight w:val="none"/>
        </w:rPr>
        <w:t>第六章 合同主要条款</w:t>
      </w:r>
      <w:bookmarkEnd w:id="165"/>
      <w:bookmarkEnd w:id="166"/>
    </w:p>
    <w:p w14:paraId="47EC4018">
      <w:pPr>
        <w:autoSpaceDE w:val="0"/>
        <w:autoSpaceDN w:val="0"/>
        <w:adjustRightInd w:val="0"/>
        <w:spacing w:line="400" w:lineRule="exact"/>
        <w:ind w:left="1455"/>
        <w:jc w:val="center"/>
        <w:outlineLvl w:val="0"/>
        <w:rPr>
          <w:rFonts w:hint="eastAsia" w:ascii="宋体" w:hAnsi="宋体" w:eastAsia="宋体" w:cs="宋体"/>
          <w:b/>
          <w:color w:val="auto"/>
          <w:highlight w:val="none"/>
        </w:rPr>
      </w:pPr>
    </w:p>
    <w:p w14:paraId="03B66036">
      <w:pPr>
        <w:spacing w:line="360" w:lineRule="auto"/>
        <w:ind w:left="11" w:right="51" w:hanging="1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(合同示例，最终以签订为准)</w:t>
      </w:r>
    </w:p>
    <w:bookmarkEnd w:id="25"/>
    <w:p w14:paraId="67DE630D">
      <w:pPr>
        <w:tabs>
          <w:tab w:val="left" w:pos="1813"/>
        </w:tabs>
        <w:autoSpaceDE w:val="0"/>
        <w:autoSpaceDN w:val="0"/>
        <w:adjustRightInd w:val="0"/>
        <w:spacing w:line="200" w:lineRule="exact"/>
        <w:rPr>
          <w:rFonts w:hint="eastAsia" w:ascii="宋体" w:hAnsi="宋体" w:eastAsia="宋体" w:cs="宋体"/>
          <w:color w:val="auto"/>
          <w:kern w:val="0"/>
          <w:highlight w:val="none"/>
        </w:rPr>
      </w:pPr>
      <w:bookmarkStart w:id="167" w:name="_Toc107651461"/>
      <w:bookmarkStart w:id="168" w:name="_Toc106851972"/>
      <w:bookmarkStart w:id="169" w:name="_Toc106853117"/>
      <w:bookmarkStart w:id="170" w:name="_Toc117655865"/>
      <w:r>
        <w:rPr>
          <w:rFonts w:hint="eastAsia" w:ascii="宋体" w:hAnsi="宋体" w:eastAsia="宋体" w:cs="宋体"/>
          <w:color w:val="auto"/>
          <w:kern w:val="0"/>
          <w:highlight w:val="none"/>
        </w:rPr>
        <w:br w:type="page"/>
      </w:r>
    </w:p>
    <w:p w14:paraId="3BF7A2B9">
      <w:pPr>
        <w:wordWrap w:val="0"/>
        <w:spacing w:line="360" w:lineRule="auto"/>
        <w:ind w:left="11" w:right="51" w:hanging="11"/>
        <w:jc w:val="right"/>
        <w:rPr>
          <w:rFonts w:hint="eastAsia" w:ascii="宋体" w:hAnsi="宋体" w:eastAsia="宋体" w:cs="宋体"/>
          <w:color w:val="auto"/>
          <w:sz w:val="30"/>
          <w:szCs w:val="30"/>
          <w:highlight w:val="none"/>
        </w:rPr>
      </w:pPr>
      <w:bookmarkStart w:id="171" w:name="_Toc286752029"/>
      <w:bookmarkStart w:id="172" w:name="_Toc248313655"/>
      <w:r>
        <w:rPr>
          <w:rFonts w:hint="eastAsia" w:ascii="宋体" w:hAnsi="宋体" w:eastAsia="宋体" w:cs="宋体"/>
          <w:color w:val="auto"/>
          <w:sz w:val="30"/>
          <w:szCs w:val="30"/>
          <w:highlight w:val="none"/>
        </w:rPr>
        <w:t xml:space="preserve">合同编号：XXXX    </w:t>
      </w:r>
    </w:p>
    <w:p w14:paraId="3A909F2A">
      <w:pPr>
        <w:rPr>
          <w:rFonts w:hint="eastAsia" w:ascii="宋体" w:hAnsi="宋体" w:eastAsia="宋体" w:cs="宋体"/>
          <w:color w:val="auto"/>
          <w:highlight w:val="none"/>
        </w:rPr>
      </w:pPr>
    </w:p>
    <w:p w14:paraId="69865F2D">
      <w:pPr>
        <w:rPr>
          <w:rFonts w:hint="eastAsia" w:ascii="宋体" w:hAnsi="宋体" w:eastAsia="宋体" w:cs="宋体"/>
          <w:color w:val="auto"/>
          <w:highlight w:val="none"/>
        </w:rPr>
      </w:pPr>
    </w:p>
    <w:p w14:paraId="04447758">
      <w:pPr>
        <w:rPr>
          <w:rFonts w:hint="eastAsia" w:ascii="宋体" w:hAnsi="宋体" w:eastAsia="宋体" w:cs="宋体"/>
          <w:color w:val="auto"/>
          <w:highlight w:val="none"/>
        </w:rPr>
      </w:pPr>
    </w:p>
    <w:p w14:paraId="09024AD4">
      <w:pPr>
        <w:rPr>
          <w:rFonts w:hint="eastAsia" w:ascii="宋体" w:hAnsi="宋体" w:eastAsia="宋体" w:cs="宋体"/>
          <w:color w:val="auto"/>
          <w:highlight w:val="none"/>
        </w:rPr>
      </w:pPr>
    </w:p>
    <w:p w14:paraId="4C1C3C2A">
      <w:pPr>
        <w:rPr>
          <w:rFonts w:hint="eastAsia" w:ascii="宋体" w:hAnsi="宋体" w:eastAsia="宋体" w:cs="宋体"/>
          <w:color w:val="auto"/>
          <w:highlight w:val="none"/>
        </w:rPr>
      </w:pPr>
    </w:p>
    <w:p w14:paraId="0DCEE28D">
      <w:pPr>
        <w:rPr>
          <w:rFonts w:hint="eastAsia" w:ascii="宋体" w:hAnsi="宋体" w:eastAsia="宋体" w:cs="宋体"/>
          <w:color w:val="auto"/>
          <w:highlight w:val="none"/>
        </w:rPr>
      </w:pPr>
    </w:p>
    <w:p w14:paraId="580E81F8">
      <w:pPr>
        <w:rPr>
          <w:rFonts w:hint="eastAsia" w:ascii="宋体" w:hAnsi="宋体" w:eastAsia="宋体" w:cs="宋体"/>
          <w:color w:val="auto"/>
          <w:highlight w:val="none"/>
        </w:rPr>
      </w:pPr>
    </w:p>
    <w:p w14:paraId="75B1C41A">
      <w:pPr>
        <w:rPr>
          <w:rFonts w:hint="eastAsia" w:ascii="宋体" w:hAnsi="宋体" w:eastAsia="宋体" w:cs="宋体"/>
          <w:color w:val="auto"/>
          <w:highlight w:val="none"/>
        </w:rPr>
      </w:pPr>
    </w:p>
    <w:p w14:paraId="5B24ACF2">
      <w:pPr>
        <w:rPr>
          <w:rFonts w:hint="eastAsia" w:ascii="宋体" w:hAnsi="宋体" w:eastAsia="宋体" w:cs="宋体"/>
          <w:color w:val="auto"/>
          <w:highlight w:val="none"/>
        </w:rPr>
      </w:pPr>
    </w:p>
    <w:p w14:paraId="48AA2ED0">
      <w:pPr>
        <w:rPr>
          <w:rFonts w:hint="eastAsia" w:ascii="宋体" w:hAnsi="宋体" w:eastAsia="宋体" w:cs="宋体"/>
          <w:color w:val="auto"/>
          <w:highlight w:val="none"/>
        </w:rPr>
      </w:pPr>
    </w:p>
    <w:p w14:paraId="4FD1484F">
      <w:pPr>
        <w:rPr>
          <w:rFonts w:hint="eastAsia" w:ascii="宋体" w:hAnsi="宋体" w:eastAsia="宋体" w:cs="宋体"/>
          <w:color w:val="auto"/>
          <w:highlight w:val="none"/>
        </w:rPr>
      </w:pPr>
    </w:p>
    <w:p w14:paraId="6AAD583B">
      <w:pPr>
        <w:rPr>
          <w:rFonts w:hint="eastAsia" w:ascii="宋体" w:hAnsi="宋体" w:eastAsia="宋体" w:cs="宋体"/>
          <w:color w:val="auto"/>
          <w:highlight w:val="none"/>
        </w:rPr>
      </w:pPr>
    </w:p>
    <w:p w14:paraId="09BF7774">
      <w:pPr>
        <w:jc w:val="center"/>
        <w:rPr>
          <w:rFonts w:hint="eastAsia" w:ascii="宋体" w:hAnsi="宋体" w:eastAsia="宋体" w:cs="宋体"/>
          <w:b/>
          <w:color w:val="auto"/>
          <w:sz w:val="44"/>
          <w:szCs w:val="44"/>
          <w:highlight w:val="none"/>
        </w:rPr>
      </w:pPr>
    </w:p>
    <w:p w14:paraId="03A27ECB">
      <w:pPr>
        <w:pStyle w:val="43"/>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四川九洲空管科技有限责任公司</w:t>
      </w:r>
    </w:p>
    <w:p w14:paraId="3A0299C5">
      <w:pPr>
        <w:pStyle w:val="43"/>
        <w:rPr>
          <w:rFonts w:hint="eastAsia" w:ascii="宋体" w:hAnsi="宋体" w:eastAsia="宋体" w:cs="宋体"/>
          <w:color w:val="auto"/>
          <w:sz w:val="44"/>
          <w:szCs w:val="44"/>
          <w:highlight w:val="none"/>
        </w:rPr>
      </w:pPr>
      <w:r>
        <w:rPr>
          <w:rFonts w:hint="eastAsia" w:ascii="宋体" w:hAnsi="宋体" w:eastAsia="宋体" w:cs="宋体"/>
          <w:b/>
          <w:color w:val="auto"/>
          <w:sz w:val="44"/>
          <w:szCs w:val="44"/>
          <w:highlight w:val="none"/>
        </w:rPr>
        <w:t>客服技术支持服务文件编制工具采购合同</w:t>
      </w:r>
    </w:p>
    <w:p w14:paraId="3553F990">
      <w:pPr>
        <w:rPr>
          <w:rFonts w:hint="eastAsia" w:ascii="宋体" w:hAnsi="宋体" w:eastAsia="宋体" w:cs="宋体"/>
          <w:color w:val="auto"/>
          <w:highlight w:val="none"/>
        </w:rPr>
      </w:pPr>
    </w:p>
    <w:p w14:paraId="6BFB0670">
      <w:pPr>
        <w:rPr>
          <w:rFonts w:hint="eastAsia" w:ascii="宋体" w:hAnsi="宋体" w:eastAsia="宋体" w:cs="宋体"/>
          <w:color w:val="auto"/>
          <w:highlight w:val="none"/>
        </w:rPr>
      </w:pPr>
    </w:p>
    <w:p w14:paraId="688A60C4">
      <w:pPr>
        <w:rPr>
          <w:rFonts w:hint="eastAsia" w:ascii="宋体" w:hAnsi="宋体" w:eastAsia="宋体" w:cs="宋体"/>
          <w:color w:val="auto"/>
          <w:highlight w:val="none"/>
        </w:rPr>
      </w:pPr>
    </w:p>
    <w:p w14:paraId="10882242">
      <w:pPr>
        <w:rPr>
          <w:rFonts w:hint="eastAsia" w:ascii="宋体" w:hAnsi="宋体" w:eastAsia="宋体" w:cs="宋体"/>
          <w:color w:val="auto"/>
          <w:highlight w:val="none"/>
        </w:rPr>
      </w:pPr>
    </w:p>
    <w:p w14:paraId="123BA6F4">
      <w:pPr>
        <w:rPr>
          <w:rFonts w:hint="eastAsia" w:ascii="宋体" w:hAnsi="宋体" w:eastAsia="宋体" w:cs="宋体"/>
          <w:color w:val="auto"/>
          <w:highlight w:val="none"/>
        </w:rPr>
      </w:pPr>
    </w:p>
    <w:p w14:paraId="3498D594">
      <w:pPr>
        <w:rPr>
          <w:rFonts w:hint="eastAsia" w:ascii="宋体" w:hAnsi="宋体" w:eastAsia="宋体" w:cs="宋体"/>
          <w:color w:val="auto"/>
          <w:highlight w:val="none"/>
        </w:rPr>
      </w:pPr>
    </w:p>
    <w:p w14:paraId="1C40EA77">
      <w:pPr>
        <w:rPr>
          <w:rFonts w:hint="eastAsia" w:ascii="宋体" w:hAnsi="宋体" w:eastAsia="宋体" w:cs="宋体"/>
          <w:color w:val="auto"/>
          <w:highlight w:val="none"/>
        </w:rPr>
      </w:pPr>
    </w:p>
    <w:p w14:paraId="5FDF1BE5">
      <w:pPr>
        <w:rPr>
          <w:rFonts w:hint="eastAsia" w:ascii="宋体" w:hAnsi="宋体" w:eastAsia="宋体" w:cs="宋体"/>
          <w:color w:val="auto"/>
          <w:highlight w:val="none"/>
        </w:rPr>
      </w:pPr>
    </w:p>
    <w:p w14:paraId="7DC1C287">
      <w:pPr>
        <w:rPr>
          <w:rFonts w:hint="eastAsia" w:ascii="宋体" w:hAnsi="宋体" w:eastAsia="宋体" w:cs="宋体"/>
          <w:color w:val="auto"/>
          <w:highlight w:val="none"/>
        </w:rPr>
      </w:pPr>
    </w:p>
    <w:p w14:paraId="76669BB3">
      <w:pPr>
        <w:rPr>
          <w:rFonts w:hint="eastAsia" w:ascii="宋体" w:hAnsi="宋体" w:eastAsia="宋体" w:cs="宋体"/>
          <w:color w:val="auto"/>
          <w:highlight w:val="none"/>
        </w:rPr>
      </w:pPr>
    </w:p>
    <w:p w14:paraId="34183788">
      <w:pPr>
        <w:rPr>
          <w:rFonts w:hint="eastAsia" w:ascii="宋体" w:hAnsi="宋体" w:eastAsia="宋体" w:cs="宋体"/>
          <w:color w:val="auto"/>
          <w:highlight w:val="none"/>
        </w:rPr>
      </w:pPr>
    </w:p>
    <w:p w14:paraId="094CCB0B">
      <w:pPr>
        <w:rPr>
          <w:rFonts w:hint="eastAsia" w:ascii="宋体" w:hAnsi="宋体" w:eastAsia="宋体" w:cs="宋体"/>
          <w:color w:val="auto"/>
          <w:highlight w:val="none"/>
        </w:rPr>
      </w:pPr>
    </w:p>
    <w:p w14:paraId="226DA578">
      <w:pPr>
        <w:rPr>
          <w:rFonts w:hint="eastAsia" w:ascii="宋体" w:hAnsi="宋体" w:eastAsia="宋体" w:cs="宋体"/>
          <w:color w:val="auto"/>
          <w:highlight w:val="none"/>
        </w:rPr>
      </w:pPr>
    </w:p>
    <w:p w14:paraId="54B1A851">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甲方（委托方）：四川九洲空管科技有限责任公司</w:t>
      </w:r>
    </w:p>
    <w:p w14:paraId="16334602">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乙方（服务方）：</w:t>
      </w:r>
    </w:p>
    <w:p w14:paraId="106E9FEB">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签订地点：四川绵阳</w:t>
      </w:r>
    </w:p>
    <w:p w14:paraId="253DD1D1">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签订日期：   年   月   日</w:t>
      </w:r>
    </w:p>
    <w:p w14:paraId="02A9B867">
      <w:pPr>
        <w:rPr>
          <w:rFonts w:hint="eastAsia" w:ascii="宋体" w:hAnsi="宋体" w:eastAsia="宋体" w:cs="宋体"/>
          <w:color w:val="auto"/>
          <w:highlight w:val="none"/>
        </w:rPr>
      </w:pPr>
      <w:r>
        <w:rPr>
          <w:rFonts w:hint="eastAsia" w:ascii="宋体" w:hAnsi="宋体" w:eastAsia="宋体" w:cs="宋体"/>
          <w:color w:val="auto"/>
          <w:sz w:val="30"/>
          <w:szCs w:val="30"/>
          <w:highlight w:val="none"/>
        </w:rPr>
        <w:br w:type="page"/>
      </w:r>
    </w:p>
    <w:tbl>
      <w:tblPr>
        <w:tblStyle w:val="47"/>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9C7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F6100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项目</w:t>
            </w:r>
          </w:p>
        </w:tc>
        <w:tc>
          <w:tcPr>
            <w:tcW w:w="3685" w:type="dxa"/>
            <w:vAlign w:val="center"/>
          </w:tcPr>
          <w:p w14:paraId="0BA0029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甲方</w:t>
            </w:r>
          </w:p>
        </w:tc>
        <w:tc>
          <w:tcPr>
            <w:tcW w:w="3639" w:type="dxa"/>
            <w:vAlign w:val="center"/>
          </w:tcPr>
          <w:p w14:paraId="20AF3679">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乙方</w:t>
            </w:r>
          </w:p>
        </w:tc>
      </w:tr>
      <w:tr w14:paraId="56BB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40A3869A">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法人单位名称</w:t>
            </w:r>
          </w:p>
        </w:tc>
        <w:tc>
          <w:tcPr>
            <w:tcW w:w="3685" w:type="dxa"/>
            <w:vAlign w:val="center"/>
          </w:tcPr>
          <w:p w14:paraId="2EEB2C7B">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08760993">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3A61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4674A4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法定代表人</w:t>
            </w:r>
          </w:p>
          <w:p w14:paraId="499C6E6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（职务、姓名）</w:t>
            </w:r>
          </w:p>
        </w:tc>
        <w:tc>
          <w:tcPr>
            <w:tcW w:w="3685" w:type="dxa"/>
            <w:vAlign w:val="center"/>
          </w:tcPr>
          <w:p w14:paraId="0D614A60">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38418817">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7832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186448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单位地址</w:t>
            </w:r>
          </w:p>
        </w:tc>
        <w:tc>
          <w:tcPr>
            <w:tcW w:w="3685" w:type="dxa"/>
            <w:vAlign w:val="center"/>
          </w:tcPr>
          <w:p w14:paraId="4AC88E4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4EA9AA00">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7689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4DE0CA3">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邮政编码</w:t>
            </w:r>
          </w:p>
        </w:tc>
        <w:tc>
          <w:tcPr>
            <w:tcW w:w="3685" w:type="dxa"/>
            <w:vAlign w:val="center"/>
          </w:tcPr>
          <w:p w14:paraId="0DAAD0D4">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6B97E94A">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15FB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19F68E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联系电话</w:t>
            </w:r>
          </w:p>
        </w:tc>
        <w:tc>
          <w:tcPr>
            <w:tcW w:w="3685" w:type="dxa"/>
            <w:vAlign w:val="center"/>
          </w:tcPr>
          <w:p w14:paraId="78B1CC8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0557D18C">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2717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32F2B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传真</w:t>
            </w:r>
          </w:p>
        </w:tc>
        <w:tc>
          <w:tcPr>
            <w:tcW w:w="3685" w:type="dxa"/>
            <w:vAlign w:val="center"/>
          </w:tcPr>
          <w:p w14:paraId="25108887">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20FEEBE7">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2466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7D5D1BA">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账户名称</w:t>
            </w:r>
          </w:p>
        </w:tc>
        <w:tc>
          <w:tcPr>
            <w:tcW w:w="3685" w:type="dxa"/>
            <w:vAlign w:val="center"/>
          </w:tcPr>
          <w:p w14:paraId="79CA7E21">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00C42E2B">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1B6F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FC2452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开户银行</w:t>
            </w:r>
          </w:p>
        </w:tc>
        <w:tc>
          <w:tcPr>
            <w:tcW w:w="3685" w:type="dxa"/>
            <w:vAlign w:val="center"/>
          </w:tcPr>
          <w:p w14:paraId="4407700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536DC910">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6044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206344D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账号</w:t>
            </w:r>
          </w:p>
        </w:tc>
        <w:tc>
          <w:tcPr>
            <w:tcW w:w="3685" w:type="dxa"/>
            <w:vAlign w:val="center"/>
          </w:tcPr>
          <w:p w14:paraId="3721BF8A">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2F7D2A82">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2BA5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CF019E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签订地</w:t>
            </w:r>
          </w:p>
        </w:tc>
        <w:tc>
          <w:tcPr>
            <w:tcW w:w="7324" w:type="dxa"/>
            <w:gridSpan w:val="2"/>
            <w:vAlign w:val="center"/>
          </w:tcPr>
          <w:p w14:paraId="5AE73CC9">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四川绵阳</w:t>
            </w:r>
          </w:p>
        </w:tc>
      </w:tr>
    </w:tbl>
    <w:p w14:paraId="22CA2200">
      <w:pPr>
        <w:spacing w:line="360" w:lineRule="auto"/>
        <w:ind w:firstLine="480" w:firstLineChars="200"/>
        <w:rPr>
          <w:rFonts w:hint="eastAsia" w:ascii="宋体" w:hAnsi="宋体" w:eastAsia="宋体" w:cs="宋体"/>
          <w:color w:val="auto"/>
          <w:sz w:val="24"/>
          <w:highlight w:val="none"/>
        </w:rPr>
      </w:pPr>
    </w:p>
    <w:p w14:paraId="0493336E">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highlight w:val="none"/>
        </w:rPr>
        <w:br w:type="page"/>
      </w:r>
      <w:r>
        <w:rPr>
          <w:rFonts w:hint="eastAsia" w:ascii="宋体" w:hAnsi="宋体" w:eastAsia="宋体" w:cs="宋体"/>
          <w:color w:val="auto"/>
          <w:sz w:val="24"/>
          <w:szCs w:val="24"/>
          <w:highlight w:val="none"/>
          <w:lang w:bidi="ar"/>
        </w:rPr>
        <w:t>本合同就 四川九洲空管科技有限责任公司（以下简称“需方”）向</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（以下简称“供方”）采购</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事宜。双方经过平等协商，在真实、充分地表达各自意愿的基础上，根据《中华人民共和国民法典》等</w:t>
      </w:r>
      <w:r>
        <w:rPr>
          <w:rFonts w:hint="eastAsia" w:ascii="宋体" w:hAnsi="宋体" w:eastAsia="宋体" w:cs="宋体"/>
          <w:color w:val="auto"/>
          <w:sz w:val="24"/>
          <w:szCs w:val="24"/>
          <w:highlight w:val="none"/>
          <w:lang w:eastAsia="zh-Hans" w:bidi="ar"/>
        </w:rPr>
        <w:t>相关</w:t>
      </w:r>
      <w:r>
        <w:rPr>
          <w:rFonts w:hint="eastAsia" w:ascii="宋体" w:hAnsi="宋体" w:eastAsia="宋体" w:cs="宋体"/>
          <w:color w:val="auto"/>
          <w:sz w:val="24"/>
          <w:szCs w:val="24"/>
          <w:highlight w:val="none"/>
          <w:lang w:bidi="ar"/>
        </w:rPr>
        <w:t>法律法规的规定，达成如下协议，以兹共同信守。</w:t>
      </w:r>
    </w:p>
    <w:p w14:paraId="7132DD0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本采购合同与下列文件一起构成合同文件： </w:t>
      </w:r>
    </w:p>
    <w:p w14:paraId="5A350934">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1）技术协议； </w:t>
      </w:r>
    </w:p>
    <w:p w14:paraId="7C93F4E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2）投标文件及报价文件；</w:t>
      </w:r>
    </w:p>
    <w:p w14:paraId="63FAD84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3）其他合同文件。</w:t>
      </w:r>
    </w:p>
    <w:p w14:paraId="48E704BA">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上述文件互相补充和解释。上述文件若存在冲突矛盾，按本采购合同、技术协议、投标文件、报价文件、其他合同文件的顺序进行解释，排名靠前的效力越高。</w:t>
      </w:r>
    </w:p>
    <w:p w14:paraId="7B21468B">
      <w:pPr>
        <w:adjustRightInd w:val="0"/>
        <w:snapToGrid w:val="0"/>
        <w:spacing w:line="420" w:lineRule="exact"/>
        <w:ind w:left="-105" w:leftChars="-50" w:right="-105" w:rightChars="-50" w:firstLine="602" w:firstLineChars="250"/>
        <w:outlineLvl w:val="0"/>
        <w:rPr>
          <w:rFonts w:hint="eastAsia" w:ascii="宋体" w:hAnsi="宋体" w:eastAsia="宋体" w:cs="宋体"/>
          <w:color w:val="auto"/>
          <w:kern w:val="0"/>
          <w:sz w:val="24"/>
          <w:szCs w:val="24"/>
          <w:highlight w:val="none"/>
          <w:lang w:bidi="ar"/>
        </w:rPr>
      </w:pPr>
      <w:bookmarkStart w:id="173" w:name="_Toc19047"/>
      <w:r>
        <w:rPr>
          <w:rFonts w:hint="eastAsia" w:ascii="宋体" w:hAnsi="宋体" w:eastAsia="宋体" w:cs="宋体"/>
          <w:b/>
          <w:bCs/>
          <w:color w:val="auto"/>
          <w:kern w:val="0"/>
          <w:sz w:val="24"/>
          <w:szCs w:val="24"/>
          <w:highlight w:val="none"/>
          <w:lang w:bidi="ar"/>
        </w:rPr>
        <w:t>一、产品名称、数量及金额</w:t>
      </w:r>
      <w:bookmarkEnd w:id="173"/>
    </w:p>
    <w:p w14:paraId="055EEA6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1.合同中载明的签约合同价包括乙方为完成合同全部义务应承担的一切成本、费用和支出以及乙方的合理利润，结算时不再调整。</w:t>
      </w:r>
    </w:p>
    <w:p w14:paraId="4D9623B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2.签约合同价为</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元（人民币大写：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元整）。分项价格如下表：</w:t>
      </w:r>
    </w:p>
    <w:p w14:paraId="293653C5">
      <w:pPr>
        <w:adjustRightInd w:val="0"/>
        <w:snapToGrid w:val="0"/>
        <w:spacing w:line="420" w:lineRule="exact"/>
        <w:ind w:left="237" w:leftChars="113" w:firstLine="240" w:firstLineChars="100"/>
        <w:jc w:val="righ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货币单位：人民币元</w:t>
      </w:r>
    </w:p>
    <w:tbl>
      <w:tblPr>
        <w:tblStyle w:val="4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0458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AC181D3">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序号</w:t>
            </w:r>
          </w:p>
        </w:tc>
        <w:tc>
          <w:tcPr>
            <w:tcW w:w="2086" w:type="dxa"/>
            <w:vAlign w:val="center"/>
          </w:tcPr>
          <w:p w14:paraId="6DB5E76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分项名称</w:t>
            </w:r>
          </w:p>
        </w:tc>
        <w:tc>
          <w:tcPr>
            <w:tcW w:w="2247" w:type="dxa"/>
            <w:noWrap/>
            <w:vAlign w:val="center"/>
          </w:tcPr>
          <w:p w14:paraId="7AF6CB08">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型号和规格</w:t>
            </w:r>
          </w:p>
        </w:tc>
        <w:tc>
          <w:tcPr>
            <w:tcW w:w="709" w:type="dxa"/>
            <w:noWrap/>
            <w:vAlign w:val="center"/>
          </w:tcPr>
          <w:p w14:paraId="60EE5CE3">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w:t>
            </w:r>
          </w:p>
        </w:tc>
        <w:tc>
          <w:tcPr>
            <w:tcW w:w="709" w:type="dxa"/>
            <w:vAlign w:val="center"/>
          </w:tcPr>
          <w:p w14:paraId="3EC175D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数量</w:t>
            </w:r>
          </w:p>
        </w:tc>
        <w:tc>
          <w:tcPr>
            <w:tcW w:w="1134" w:type="dxa"/>
            <w:vAlign w:val="center"/>
          </w:tcPr>
          <w:p w14:paraId="52EBA2E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单价</w:t>
            </w:r>
          </w:p>
        </w:tc>
        <w:tc>
          <w:tcPr>
            <w:tcW w:w="1134" w:type="dxa"/>
            <w:vAlign w:val="center"/>
          </w:tcPr>
          <w:p w14:paraId="1639D45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小计</w:t>
            </w:r>
          </w:p>
        </w:tc>
        <w:tc>
          <w:tcPr>
            <w:tcW w:w="1827" w:type="dxa"/>
            <w:vAlign w:val="center"/>
          </w:tcPr>
          <w:p w14:paraId="29B3BD3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w:t>
            </w:r>
          </w:p>
        </w:tc>
      </w:tr>
      <w:tr w14:paraId="74D6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4D4371">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w:t>
            </w:r>
          </w:p>
        </w:tc>
        <w:tc>
          <w:tcPr>
            <w:tcW w:w="2086" w:type="dxa"/>
          </w:tcPr>
          <w:p w14:paraId="2402036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074AC5BD">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1FEC803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1E76F88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1CF472C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5A3DB67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5037A41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412F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874CC0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w:t>
            </w:r>
          </w:p>
        </w:tc>
        <w:tc>
          <w:tcPr>
            <w:tcW w:w="2086" w:type="dxa"/>
          </w:tcPr>
          <w:p w14:paraId="6F9DDB5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34BFE91C">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28EE8F8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219695BC">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2815DD6E">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27314321">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2FF6F1FC">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19D2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68EFD7">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w:t>
            </w:r>
          </w:p>
        </w:tc>
        <w:tc>
          <w:tcPr>
            <w:tcW w:w="2086" w:type="dxa"/>
          </w:tcPr>
          <w:p w14:paraId="78B1CA5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20DB304B">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5820E85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346D0A6F">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490D606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36EC4DAB">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624D5AB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5F91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ACE6ED6">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w:t>
            </w:r>
          </w:p>
        </w:tc>
        <w:tc>
          <w:tcPr>
            <w:tcW w:w="2086" w:type="dxa"/>
          </w:tcPr>
          <w:p w14:paraId="0A47FC8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358A463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7A382F98">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546CACA2">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735C1068">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6C42F2B8">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79F388EE">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6508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2042CDF1">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5</w:t>
            </w:r>
          </w:p>
        </w:tc>
        <w:tc>
          <w:tcPr>
            <w:tcW w:w="2086" w:type="dxa"/>
          </w:tcPr>
          <w:p w14:paraId="025A754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2247" w:type="dxa"/>
          </w:tcPr>
          <w:p w14:paraId="08F5981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709" w:type="dxa"/>
          </w:tcPr>
          <w:p w14:paraId="1A7038F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413F5B51">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1E62CA77">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733C3F74">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6465F5E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2D4E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D6764AF">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合计</w:t>
            </w:r>
          </w:p>
        </w:tc>
        <w:tc>
          <w:tcPr>
            <w:tcW w:w="4095" w:type="dxa"/>
            <w:gridSpan w:val="3"/>
            <w:shd w:val="clear" w:color="000000" w:fill="FFFFFF"/>
          </w:tcPr>
          <w:p w14:paraId="29C9080D">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7BB8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109A424D">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备注：1.若国家税率发生变化导致降低了乙方开票成本的，所节约的成本由甲方享用，甲方减少相应支付的金额。</w:t>
            </w:r>
          </w:p>
          <w:p w14:paraId="0CBA50C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2.产品明细见附件一《产品及技术服务清单》。</w:t>
            </w:r>
          </w:p>
          <w:p w14:paraId="79DA6BC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3.技术要求见《技术协议》。</w:t>
            </w:r>
          </w:p>
          <w:p w14:paraId="4049A48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4.开具税率为    %增值税专用发票。</w:t>
            </w:r>
          </w:p>
        </w:tc>
      </w:tr>
    </w:tbl>
    <w:p w14:paraId="72563CC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p w14:paraId="298275FB">
      <w:pPr>
        <w:adjustRightInd w:val="0"/>
        <w:snapToGrid w:val="0"/>
        <w:spacing w:line="420" w:lineRule="exact"/>
        <w:ind w:left="-105" w:leftChars="-50" w:right="-105" w:rightChars="-50" w:firstLine="600" w:firstLineChars="250"/>
        <w:outlineLvl w:val="0"/>
        <w:rPr>
          <w:rFonts w:hint="eastAsia" w:ascii="宋体" w:hAnsi="宋体" w:eastAsia="宋体" w:cs="宋体"/>
          <w:color w:val="auto"/>
          <w:kern w:val="0"/>
          <w:sz w:val="24"/>
          <w:szCs w:val="24"/>
          <w:highlight w:val="none"/>
        </w:rPr>
      </w:pPr>
      <w:bookmarkStart w:id="174" w:name="_Toc19899"/>
      <w:r>
        <w:rPr>
          <w:rFonts w:hint="eastAsia" w:ascii="宋体" w:hAnsi="宋体" w:eastAsia="宋体" w:cs="宋体"/>
          <w:color w:val="auto"/>
          <w:kern w:val="0"/>
          <w:sz w:val="24"/>
          <w:szCs w:val="24"/>
          <w:highlight w:val="none"/>
          <w:lang w:bidi="ar"/>
        </w:rPr>
        <w:t>二、</w:t>
      </w:r>
      <w:r>
        <w:rPr>
          <w:rFonts w:hint="eastAsia" w:ascii="宋体" w:hAnsi="宋体" w:eastAsia="宋体" w:cs="宋体"/>
          <w:b/>
          <w:color w:val="auto"/>
          <w:kern w:val="0"/>
          <w:sz w:val="24"/>
          <w:szCs w:val="24"/>
          <w:highlight w:val="none"/>
          <w:lang w:bidi="ar"/>
        </w:rPr>
        <w:t>质量要求、技术标准、产品质量保证期限</w:t>
      </w:r>
      <w:bookmarkEnd w:id="174"/>
    </w:p>
    <w:p w14:paraId="1E50308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auto"/>
          <w:kern w:val="0"/>
          <w:sz w:val="24"/>
          <w:szCs w:val="24"/>
          <w:highlight w:val="none"/>
          <w:lang w:bidi="ar"/>
        </w:rPr>
        <w:t>，若有样品，还需按需方确认的样品质量标准交付。</w:t>
      </w:r>
      <w:r>
        <w:rPr>
          <w:rFonts w:hint="eastAsia" w:ascii="宋体" w:hAnsi="宋体" w:eastAsia="宋体" w:cs="宋体"/>
          <w:color w:val="auto"/>
          <w:sz w:val="24"/>
          <w:szCs w:val="24"/>
          <w:highlight w:val="none"/>
          <w:lang w:bidi="ar"/>
        </w:rPr>
        <w:t xml:space="preserve"> </w:t>
      </w:r>
    </w:p>
    <w:p w14:paraId="63CF0A41">
      <w:pPr>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2.技术标准：按满足使用要求。</w:t>
      </w:r>
    </w:p>
    <w:p w14:paraId="68188A14">
      <w:pPr>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3.供方承诺并保证，供方提供的产品均为全新产品，包含所有组件和零件均为全新，且产品质量符合合同约定标准，产品无质量缺陷，无潜在的安全风险。</w:t>
      </w:r>
    </w:p>
    <w:p w14:paraId="73D23008">
      <w:pPr>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4.产品质量保证期限：提供</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年（时间从双方签署《项目验收报告》起计算）的质保服务和原厂免费技术支持服务 。</w:t>
      </w:r>
    </w:p>
    <w:p w14:paraId="6F71994C">
      <w:pPr>
        <w:adjustRightInd w:val="0"/>
        <w:snapToGrid w:val="0"/>
        <w:spacing w:line="420" w:lineRule="exact"/>
        <w:ind w:firstLine="480" w:firstLineChars="200"/>
        <w:jc w:val="left"/>
        <w:outlineLvl w:val="0"/>
        <w:rPr>
          <w:rFonts w:hint="eastAsia" w:ascii="宋体" w:hAnsi="宋体" w:eastAsia="宋体" w:cs="宋体"/>
          <w:color w:val="auto"/>
          <w:sz w:val="24"/>
          <w:szCs w:val="24"/>
          <w:highlight w:val="none"/>
        </w:rPr>
      </w:pPr>
      <w:bookmarkStart w:id="175" w:name="_Toc21653"/>
      <w:r>
        <w:rPr>
          <w:rFonts w:hint="eastAsia" w:ascii="宋体" w:hAnsi="宋体" w:eastAsia="宋体" w:cs="宋体"/>
          <w:color w:val="auto"/>
          <w:kern w:val="0"/>
          <w:sz w:val="24"/>
          <w:szCs w:val="24"/>
          <w:highlight w:val="none"/>
          <w:lang w:bidi="ar"/>
        </w:rPr>
        <w:t>三、</w:t>
      </w:r>
      <w:r>
        <w:rPr>
          <w:rFonts w:hint="eastAsia" w:ascii="宋体" w:hAnsi="宋体" w:eastAsia="宋体" w:cs="宋体"/>
          <w:b/>
          <w:color w:val="auto"/>
          <w:kern w:val="0"/>
          <w:sz w:val="24"/>
          <w:szCs w:val="24"/>
          <w:highlight w:val="none"/>
          <w:lang w:bidi="ar"/>
        </w:rPr>
        <w:t>交货地点、方式</w:t>
      </w:r>
      <w:bookmarkEnd w:id="175"/>
      <w:r>
        <w:rPr>
          <w:rFonts w:hint="eastAsia" w:ascii="宋体" w:hAnsi="宋体" w:eastAsia="宋体" w:cs="宋体"/>
          <w:b/>
          <w:color w:val="auto"/>
          <w:kern w:val="0"/>
          <w:sz w:val="24"/>
          <w:szCs w:val="24"/>
          <w:highlight w:val="none"/>
          <w:lang w:bidi="ar"/>
        </w:rPr>
        <w:t xml:space="preserve"> </w:t>
      </w:r>
    </w:p>
    <w:p w14:paraId="79A39847">
      <w:pPr>
        <w:widowControl/>
        <w:adjustRightInd w:val="0"/>
        <w:snapToGrid w:val="0"/>
        <w:spacing w:line="420" w:lineRule="exact"/>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供</w:t>
      </w:r>
      <w:r>
        <w:rPr>
          <w:rFonts w:hint="eastAsia" w:ascii="宋体" w:hAnsi="宋体" w:eastAsia="宋体" w:cs="宋体"/>
          <w:bCs/>
          <w:color w:val="auto"/>
          <w:sz w:val="24"/>
          <w:szCs w:val="24"/>
          <w:highlight w:val="none"/>
          <w:lang w:bidi="ar"/>
        </w:rPr>
        <w:t>方自行将产品送到需方所在地—四川省绵阳市科创园区九华路6号或甲方书面指定地点(包括但不限于信函、电子邮件、传真、微信、短信等书面方式)。</w:t>
      </w:r>
      <w:bookmarkStart w:id="176" w:name="_Hlk168062699"/>
      <w:r>
        <w:rPr>
          <w:rFonts w:hint="eastAsia" w:ascii="宋体" w:hAnsi="宋体" w:eastAsia="宋体" w:cs="宋体"/>
          <w:bCs/>
          <w:color w:val="auto"/>
          <w:sz w:val="24"/>
          <w:szCs w:val="24"/>
          <w:highlight w:val="none"/>
          <w:lang w:bidi="ar"/>
        </w:rPr>
        <w:t>收货人：</w:t>
      </w:r>
      <w:bookmarkEnd w:id="176"/>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，联系电话：</w:t>
      </w:r>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w:t>
      </w:r>
    </w:p>
    <w:p w14:paraId="6D10D072">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77" w:name="_Toc8569"/>
      <w:r>
        <w:rPr>
          <w:rFonts w:hint="eastAsia" w:ascii="宋体" w:hAnsi="宋体" w:eastAsia="宋体" w:cs="宋体"/>
          <w:b/>
          <w:color w:val="auto"/>
          <w:kern w:val="0"/>
          <w:sz w:val="24"/>
          <w:szCs w:val="24"/>
          <w:highlight w:val="none"/>
          <w:lang w:bidi="ar"/>
        </w:rPr>
        <w:t>四、运输方式及到达地点和费用负担</w:t>
      </w:r>
      <w:bookmarkEnd w:id="177"/>
    </w:p>
    <w:p w14:paraId="4B2DF642">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运输方式由供方根据交货时间要求自行决定，产品运送至需方所在地或需方指定地点，运输费用由供方负担。</w:t>
      </w:r>
    </w:p>
    <w:p w14:paraId="366D92AC">
      <w:pPr>
        <w:widowControl/>
        <w:numPr>
          <w:ilvl w:val="0"/>
          <w:numId w:val="58"/>
        </w:numPr>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78" w:name="_Toc6818"/>
      <w:r>
        <w:rPr>
          <w:rFonts w:hint="eastAsia" w:ascii="宋体" w:hAnsi="宋体" w:eastAsia="宋体" w:cs="宋体"/>
          <w:b/>
          <w:color w:val="auto"/>
          <w:kern w:val="0"/>
          <w:sz w:val="24"/>
          <w:szCs w:val="24"/>
          <w:highlight w:val="none"/>
          <w:lang w:bidi="ar"/>
        </w:rPr>
        <w:t>交付及风险转移</w:t>
      </w:r>
      <w:bookmarkEnd w:id="178"/>
    </w:p>
    <w:p w14:paraId="7E22905F">
      <w:pPr>
        <w:widowControl/>
        <w:adjustRightInd w:val="0"/>
        <w:snapToGrid w:val="0"/>
        <w:spacing w:line="420" w:lineRule="exact"/>
        <w:ind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供方应对产品在运输、装卸、安装、调试过程中的损毁、灭失风险负责。产品经供方安装调试完毕，且经需方验收合格并交付需方后，产品的权属及风险转移至需方。</w:t>
      </w:r>
    </w:p>
    <w:p w14:paraId="049FD1E8">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79" w:name="_Toc17173"/>
      <w:r>
        <w:rPr>
          <w:rFonts w:hint="eastAsia" w:ascii="宋体" w:hAnsi="宋体" w:eastAsia="宋体" w:cs="宋体"/>
          <w:b/>
          <w:color w:val="auto"/>
          <w:kern w:val="0"/>
          <w:sz w:val="24"/>
          <w:szCs w:val="24"/>
          <w:highlight w:val="none"/>
          <w:lang w:bidi="ar"/>
        </w:rPr>
        <w:t>六、交付时外观状态</w:t>
      </w:r>
      <w:bookmarkEnd w:id="179"/>
    </w:p>
    <w:p w14:paraId="3FF776BF">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产品交付需方时应外观完好，无破损、无变形、无掉漆等。</w:t>
      </w:r>
    </w:p>
    <w:p w14:paraId="341A503D">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80" w:name="_Toc13219"/>
      <w:r>
        <w:rPr>
          <w:rFonts w:hint="eastAsia" w:ascii="宋体" w:hAnsi="宋体" w:eastAsia="宋体" w:cs="宋体"/>
          <w:b/>
          <w:color w:val="auto"/>
          <w:kern w:val="0"/>
          <w:sz w:val="24"/>
          <w:szCs w:val="24"/>
          <w:highlight w:val="none"/>
          <w:lang w:bidi="ar"/>
        </w:rPr>
        <w:t>七、包装标准、包装品的处理和费用负担</w:t>
      </w:r>
      <w:bookmarkEnd w:id="180"/>
      <w:r>
        <w:rPr>
          <w:rFonts w:hint="eastAsia" w:ascii="宋体" w:hAnsi="宋体" w:eastAsia="宋体" w:cs="宋体"/>
          <w:b/>
          <w:color w:val="auto"/>
          <w:kern w:val="0"/>
          <w:sz w:val="24"/>
          <w:szCs w:val="24"/>
          <w:highlight w:val="none"/>
          <w:lang w:bidi="ar"/>
        </w:rPr>
        <w:t xml:space="preserve"> </w:t>
      </w:r>
    </w:p>
    <w:p w14:paraId="0A369DFF">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1.出厂原包装，适合长途运输及合理的多次搬动，并有良好的防湿、防潮、防震和防腐蚀的能力；包装费用由供方承担，包装物不回收。</w:t>
      </w:r>
    </w:p>
    <w:p w14:paraId="5D49B108">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2.包装箱内应有装箱清单（应注明所购产品型号、数量）、测试报告、合格证、质保书和保修卡等。</w:t>
      </w:r>
    </w:p>
    <w:p w14:paraId="08C630AE">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81" w:name="_Toc29492"/>
      <w:r>
        <w:rPr>
          <w:rFonts w:hint="eastAsia" w:ascii="宋体" w:hAnsi="宋体" w:eastAsia="宋体" w:cs="宋体"/>
          <w:b/>
          <w:color w:val="auto"/>
          <w:kern w:val="0"/>
          <w:sz w:val="24"/>
          <w:szCs w:val="24"/>
          <w:highlight w:val="none"/>
          <w:lang w:bidi="ar"/>
        </w:rPr>
        <w:t>八、随机备品、配件、工具数量及供应办法</w:t>
      </w:r>
      <w:bookmarkEnd w:id="181"/>
    </w:p>
    <w:p w14:paraId="2A906550">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供方应按满足需方使用要求以及行业、国家标准，配备足量的备品、备件及工具。产品备品、备件及工具，随产品一并交付。若需方另有需求，双方应在本合同第一条予以明确。</w:t>
      </w:r>
    </w:p>
    <w:p w14:paraId="771A581D">
      <w:pPr>
        <w:adjustRightInd w:val="0"/>
        <w:snapToGrid w:val="0"/>
        <w:spacing w:line="420" w:lineRule="exact"/>
        <w:ind w:left="433" w:leftChars="206" w:right="-105" w:rightChars="-50"/>
        <w:outlineLvl w:val="0"/>
        <w:rPr>
          <w:rFonts w:hint="eastAsia" w:ascii="宋体" w:hAnsi="宋体" w:eastAsia="宋体" w:cs="宋体"/>
          <w:b/>
          <w:color w:val="auto"/>
          <w:kern w:val="0"/>
          <w:sz w:val="24"/>
          <w:szCs w:val="24"/>
          <w:highlight w:val="none"/>
        </w:rPr>
      </w:pPr>
      <w:bookmarkStart w:id="182" w:name="_Toc21505"/>
      <w:r>
        <w:rPr>
          <w:rFonts w:hint="eastAsia" w:ascii="宋体" w:hAnsi="宋体" w:eastAsia="宋体" w:cs="宋体"/>
          <w:b/>
          <w:color w:val="auto"/>
          <w:sz w:val="24"/>
          <w:szCs w:val="24"/>
          <w:highlight w:val="none"/>
          <w:lang w:bidi="ar"/>
        </w:rPr>
        <w:t>九、</w:t>
      </w:r>
      <w:r>
        <w:rPr>
          <w:rFonts w:hint="eastAsia" w:ascii="宋体" w:hAnsi="宋体" w:eastAsia="宋体" w:cs="宋体"/>
          <w:b/>
          <w:color w:val="auto"/>
          <w:kern w:val="0"/>
          <w:sz w:val="24"/>
          <w:szCs w:val="24"/>
          <w:highlight w:val="none"/>
          <w:lang w:bidi="ar"/>
        </w:rPr>
        <w:t>验收主体、时间、标准、方法及提出异议期限</w:t>
      </w:r>
      <w:bookmarkEnd w:id="182"/>
    </w:p>
    <w:p w14:paraId="1786BD3E">
      <w:pPr>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1.货到需方现场后，供方应在</w:t>
      </w:r>
      <w:r>
        <w:rPr>
          <w:rFonts w:hint="eastAsia" w:ascii="宋体" w:hAnsi="宋体" w:eastAsia="宋体" w:cs="宋体"/>
          <w:color w:val="auto"/>
          <w:kern w:val="0"/>
          <w:sz w:val="24"/>
          <w:szCs w:val="24"/>
          <w:highlight w:val="none"/>
          <w:u w:val="single"/>
          <w:lang w:bidi="ar"/>
        </w:rPr>
        <w:t>3</w:t>
      </w:r>
      <w:r>
        <w:rPr>
          <w:rFonts w:hint="eastAsia" w:ascii="宋体" w:hAnsi="宋体" w:eastAsia="宋体" w:cs="宋体"/>
          <w:color w:val="auto"/>
          <w:kern w:val="0"/>
          <w:sz w:val="24"/>
          <w:szCs w:val="24"/>
          <w:highlight w:val="none"/>
          <w:lang w:bidi="ar"/>
        </w:rPr>
        <w:t>日内安装调试完毕；安装调试完毕后，供需双方共同对产品的型号规格、供货数量、产品质量、性能特点、技术参数等方面进行验收；验收标准满足需方使用要求。</w:t>
      </w:r>
    </w:p>
    <w:p w14:paraId="5BEA7D48">
      <w:pPr>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auto"/>
          <w:sz w:val="24"/>
          <w:szCs w:val="24"/>
          <w:highlight w:val="none"/>
          <w:lang w:bidi="ar"/>
        </w:rPr>
        <w:t>由供方承担。</w:t>
      </w:r>
    </w:p>
    <w:p w14:paraId="4E6838B6">
      <w:pPr>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auto"/>
          <w:kern w:val="0"/>
          <w:sz w:val="24"/>
          <w:szCs w:val="24"/>
          <w:highlight w:val="none"/>
          <w:lang w:bidi="ar"/>
        </w:rPr>
        <w:t>到需方书面异议后，应在</w:t>
      </w:r>
      <w:r>
        <w:rPr>
          <w:rFonts w:hint="eastAsia" w:ascii="宋体" w:hAnsi="宋体" w:eastAsia="宋体" w:cs="宋体"/>
          <w:bCs/>
          <w:color w:val="auto"/>
          <w:kern w:val="0"/>
          <w:sz w:val="24"/>
          <w:szCs w:val="24"/>
          <w:highlight w:val="none"/>
          <w:u w:val="single"/>
          <w:lang w:bidi="ar"/>
        </w:rPr>
        <w:t>7</w:t>
      </w:r>
      <w:r>
        <w:rPr>
          <w:rFonts w:hint="eastAsia" w:ascii="宋体" w:hAnsi="宋体" w:eastAsia="宋体" w:cs="宋体"/>
          <w:bCs/>
          <w:color w:val="auto"/>
          <w:kern w:val="0"/>
          <w:sz w:val="24"/>
          <w:szCs w:val="24"/>
          <w:highlight w:val="none"/>
          <w:lang w:bidi="ar"/>
        </w:rPr>
        <w:t>日内负责处理完毕，否则，即</w:t>
      </w:r>
      <w:r>
        <w:rPr>
          <w:rFonts w:hint="eastAsia" w:ascii="宋体" w:hAnsi="宋体" w:eastAsia="宋体" w:cs="宋体"/>
          <w:color w:val="auto"/>
          <w:kern w:val="0"/>
          <w:sz w:val="24"/>
          <w:szCs w:val="24"/>
          <w:highlight w:val="none"/>
          <w:lang w:bidi="ar"/>
        </w:rPr>
        <w:t>视为默认需方提出的异议和处理意见。</w:t>
      </w:r>
    </w:p>
    <w:p w14:paraId="2C95CA9D">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auto"/>
          <w:kern w:val="0"/>
          <w:sz w:val="24"/>
          <w:szCs w:val="24"/>
          <w:highlight w:val="none"/>
        </w:rPr>
      </w:pPr>
      <w:bookmarkStart w:id="183" w:name="_Toc6542"/>
      <w:r>
        <w:rPr>
          <w:rFonts w:hint="eastAsia" w:ascii="宋体" w:hAnsi="宋体" w:eastAsia="宋体" w:cs="宋体"/>
          <w:b/>
          <w:color w:val="auto"/>
          <w:kern w:val="0"/>
          <w:sz w:val="24"/>
          <w:szCs w:val="24"/>
          <w:highlight w:val="none"/>
          <w:lang w:bidi="ar"/>
        </w:rPr>
        <w:t>十、培训</w:t>
      </w:r>
      <w:bookmarkEnd w:id="183"/>
    </w:p>
    <w:p w14:paraId="10B9D1AE">
      <w:pPr>
        <w:pStyle w:val="40"/>
        <w:widowControl w:val="0"/>
        <w:adjustRightInd w:val="0"/>
        <w:snapToGrid w:val="0"/>
        <w:spacing w:before="0" w:beforeAutospacing="0" w:after="0" w:afterAutospacing="0" w:line="300" w:lineRule="auto"/>
        <w:ind w:firstLine="470" w:firstLineChars="196"/>
        <w:jc w:val="both"/>
        <w:rPr>
          <w:rFonts w:hint="eastAsia" w:ascii="宋体" w:hAnsi="宋体" w:eastAsia="宋体" w:cs="宋体"/>
          <w:b/>
          <w:color w:val="auto"/>
          <w:highlight w:val="none"/>
        </w:rPr>
      </w:pPr>
      <w:r>
        <w:rPr>
          <w:rFonts w:hint="eastAsia" w:ascii="宋体" w:hAnsi="宋体" w:eastAsia="宋体" w:cs="宋体"/>
          <w:bCs/>
          <w:color w:val="auto"/>
          <w:kern w:val="2"/>
          <w:highlight w:val="none"/>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4CCA1F00">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auto"/>
          <w:highlight w:val="none"/>
        </w:rPr>
      </w:pPr>
      <w:bookmarkStart w:id="184" w:name="_Toc32188"/>
      <w:r>
        <w:rPr>
          <w:rFonts w:hint="eastAsia" w:ascii="宋体" w:hAnsi="宋体" w:eastAsia="宋体" w:cs="宋体"/>
          <w:b/>
          <w:color w:val="auto"/>
          <w:kern w:val="0"/>
          <w:sz w:val="24"/>
          <w:szCs w:val="24"/>
          <w:highlight w:val="none"/>
          <w:lang w:bidi="ar"/>
        </w:rPr>
        <w:t>十一、结算方式及期限</w:t>
      </w:r>
      <w:bookmarkEnd w:id="184"/>
    </w:p>
    <w:p w14:paraId="24268D17">
      <w:pPr>
        <w:widowControl/>
        <w:adjustRightInd w:val="0"/>
        <w:snapToGrid w:val="0"/>
        <w:spacing w:line="420" w:lineRule="exact"/>
        <w:jc w:val="left"/>
        <w:outlineLvl w:val="1"/>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 xml:space="preserve"> </w:t>
      </w:r>
      <w:bookmarkStart w:id="185" w:name="_Toc11426"/>
      <w:r>
        <w:rPr>
          <w:rFonts w:hint="eastAsia" w:ascii="宋体" w:hAnsi="宋体" w:eastAsia="宋体" w:cs="宋体"/>
          <w:color w:val="auto"/>
          <w:kern w:val="0"/>
          <w:sz w:val="24"/>
          <w:szCs w:val="24"/>
          <w:highlight w:val="none"/>
          <w:lang w:bidi="ar"/>
        </w:rPr>
        <w:t>(一)结算方式为需方通过本合同中供方提供的银行账号进行转账。</w:t>
      </w:r>
      <w:bookmarkEnd w:id="185"/>
    </w:p>
    <w:p w14:paraId="4715A176">
      <w:pPr>
        <w:widowControl/>
        <w:adjustRightInd w:val="0"/>
        <w:snapToGrid w:val="0"/>
        <w:spacing w:line="420" w:lineRule="exact"/>
        <w:jc w:val="left"/>
        <w:outlineLvl w:val="1"/>
        <w:rPr>
          <w:rFonts w:hint="eastAsia" w:ascii="宋体" w:hAnsi="宋体" w:eastAsia="宋体" w:cs="宋体"/>
          <w:color w:val="auto"/>
          <w:kern w:val="0"/>
          <w:sz w:val="24"/>
          <w:szCs w:val="24"/>
          <w:highlight w:val="none"/>
        </w:rPr>
      </w:pPr>
      <w:bookmarkStart w:id="186" w:name="_Toc24531"/>
      <w:r>
        <w:rPr>
          <w:rFonts w:hint="eastAsia" w:ascii="宋体" w:hAnsi="宋体" w:eastAsia="宋体" w:cs="宋体"/>
          <w:color w:val="auto"/>
          <w:kern w:val="0"/>
          <w:sz w:val="24"/>
          <w:szCs w:val="24"/>
          <w:highlight w:val="none"/>
          <w:lang w:bidi="ar"/>
        </w:rPr>
        <w:t>（二）合同款项以转账、汇票、承兑汇票、信用证或供应链融资等方式支付：</w:t>
      </w:r>
      <w:bookmarkEnd w:id="186"/>
    </w:p>
    <w:p w14:paraId="19D9A8C6">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1.合同履约保证金：合同签订生效后，30个工作日内供方应按合同总价的5%向需方支付履约保证金，即      元（人民币：     元整），项目验收合格30个工作日内，需方以银行电汇方式退还供方。</w:t>
      </w:r>
    </w:p>
    <w:p w14:paraId="011A0812">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2.合同签订生效后，三十个工作日内支付供方合同款的30%，即人民币         元（大写：人民币      元整）；</w:t>
      </w:r>
    </w:p>
    <w:p w14:paraId="207E076B">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3.供方在合同约定时间内将产品交付需方，需方在产品安装调试完毕并验收合格且收到供方开具的全额增值税专用发票后三十个工作日内支付供方合同款的30%，即人民币         元（大写：人民币      元整）；</w:t>
      </w:r>
    </w:p>
    <w:p w14:paraId="2E7C990D">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4.验收合格后试运行六个月，三十个工作日内支付供方合同款的30%，即人民币        元（大写：人民币     元整）；</w:t>
      </w:r>
    </w:p>
    <w:p w14:paraId="12E699C2">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5.剩余合同尾款作为供方履行售后维保的质保金，产品无质量问题或质量瑕疵，自收到供方全额增值税专用发票之日起12个月后支付供方合同尾款，即人民币         元（大写：人民币      元整）；</w:t>
      </w:r>
    </w:p>
    <w:p w14:paraId="03C320E7">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6.供方开具税率为__%增值税专用发票。供方未交付发票的，需方付款时间顺延。</w:t>
      </w:r>
    </w:p>
    <w:p w14:paraId="41D9057F">
      <w:pPr>
        <w:adjustRightInd w:val="0"/>
        <w:snapToGrid w:val="0"/>
        <w:spacing w:line="30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r>
        <w:rPr>
          <w:rFonts w:hint="eastAsia" w:ascii="宋体" w:hAnsi="宋体" w:eastAsia="宋体" w:cs="宋体"/>
          <w:color w:val="auto"/>
          <w:sz w:val="24"/>
          <w:szCs w:val="24"/>
          <w:highlight w:val="none"/>
          <w:lang w:bidi="ar"/>
        </w:rPr>
        <w:t>.</w:t>
      </w:r>
      <w:r>
        <w:rPr>
          <w:rFonts w:hint="eastAsia" w:ascii="宋体" w:hAnsi="宋体" w:eastAsia="宋体" w:cs="宋体"/>
          <w:color w:val="auto"/>
          <w:kern w:val="0"/>
          <w:sz w:val="24"/>
          <w:szCs w:val="24"/>
          <w:highlight w:val="none"/>
          <w:lang w:bidi="ar"/>
        </w:rPr>
        <w:t>本合同含税总价主要包括产品价格、运输费、安装费、质保期内的维保费用、其它费（含技术服务费用、技术资料费、引进技术专利费、各种检测检验试验费、安装调试费、培训技术人员费等）等为完成本合同项目所需的一切费用。</w:t>
      </w:r>
    </w:p>
    <w:p w14:paraId="0520A3F7">
      <w:pPr>
        <w:adjustRightInd w:val="0"/>
        <w:snapToGrid w:val="0"/>
        <w:spacing w:line="300" w:lineRule="auto"/>
        <w:ind w:firstLine="480" w:firstLineChars="2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8.税率调整处理：若因国家政策税率发生变化时，按照不含税单价不变原则调整合同价格。</w:t>
      </w:r>
    </w:p>
    <w:p w14:paraId="7617410A">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auto"/>
          <w:kern w:val="0"/>
          <w:sz w:val="24"/>
          <w:szCs w:val="24"/>
          <w:highlight w:val="none"/>
        </w:rPr>
      </w:pPr>
      <w:bookmarkStart w:id="187" w:name="_Toc20484"/>
      <w:r>
        <w:rPr>
          <w:rFonts w:hint="eastAsia" w:ascii="宋体" w:hAnsi="宋体" w:eastAsia="宋体" w:cs="宋体"/>
          <w:b/>
          <w:color w:val="auto"/>
          <w:kern w:val="0"/>
          <w:sz w:val="24"/>
          <w:szCs w:val="24"/>
          <w:highlight w:val="none"/>
          <w:lang w:bidi="ar"/>
        </w:rPr>
        <w:t>十二、商业秘密的保护</w:t>
      </w:r>
      <w:bookmarkEnd w:id="187"/>
    </w:p>
    <w:p w14:paraId="53BD8B6F">
      <w:pPr>
        <w:widowControl/>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供方对产品技术指标及在合同谈判和履行过程中所知悉的需方的所有信息负有保密责任，如因供方原因出现失密，一切责任由供方承担，并赔偿由此给需方造成的损失。本条款长期有效，不因本合同的终止而失效。</w:t>
      </w:r>
    </w:p>
    <w:p w14:paraId="1804AED8">
      <w:pPr>
        <w:widowControl/>
        <w:adjustRightInd w:val="0"/>
        <w:snapToGrid w:val="0"/>
        <w:spacing w:line="420" w:lineRule="exact"/>
        <w:ind w:firstLine="482" w:firstLineChars="200"/>
        <w:jc w:val="left"/>
        <w:outlineLvl w:val="0"/>
        <w:rPr>
          <w:rFonts w:hint="eastAsia" w:ascii="宋体" w:hAnsi="宋体" w:eastAsia="宋体" w:cs="宋体"/>
          <w:b/>
          <w:color w:val="auto"/>
          <w:sz w:val="24"/>
          <w:szCs w:val="24"/>
          <w:highlight w:val="none"/>
        </w:rPr>
      </w:pPr>
      <w:bookmarkStart w:id="188" w:name="_Toc17874"/>
      <w:r>
        <w:rPr>
          <w:rFonts w:hint="eastAsia" w:ascii="宋体" w:hAnsi="宋体" w:eastAsia="宋体" w:cs="宋体"/>
          <w:b/>
          <w:color w:val="auto"/>
          <w:sz w:val="24"/>
          <w:szCs w:val="24"/>
          <w:highlight w:val="none"/>
          <w:lang w:bidi="ar"/>
        </w:rPr>
        <w:t>十三、售后服务</w:t>
      </w:r>
      <w:bookmarkEnd w:id="188"/>
    </w:p>
    <w:p w14:paraId="2FDC6535">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1.供方应在产品寿命期内对产品做好质量保证和维修服务，应做到及时响应和及时解决。具体执行如下：</w:t>
      </w:r>
    </w:p>
    <w:p w14:paraId="35235C2D">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2894047D">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不定期向招标方提供含有软件最新功能描述、软件使用技巧、用户实例、最新研究动态等内容的相关资料。</w:t>
      </w:r>
    </w:p>
    <w:p w14:paraId="517CF697">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系统验收测试合格后，提供全系统   年的质保期。保修期内由于设备自身质量问题引发的任何问题或故障，将免费更换和维修，提供设备使用软件的免费升级服务，免费提供   年内系统升级服务，保证招标方使用的为最新版本。</w:t>
      </w:r>
    </w:p>
    <w:p w14:paraId="420CEE20">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2.需方发现产品存在质量缺陷，供方应无条件进行保修，并不得收取任何费用。</w:t>
      </w:r>
    </w:p>
    <w:p w14:paraId="0518115A">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3.供方如更换售后服务联系电话，应提前3日书面通知需方。</w:t>
      </w:r>
    </w:p>
    <w:p w14:paraId="60F68E95">
      <w:pPr>
        <w:widowControl/>
        <w:shd w:val="clear" w:color="auto" w:fill="FFFFFF"/>
        <w:adjustRightInd w:val="0"/>
        <w:snapToGrid w:val="0"/>
        <w:spacing w:line="420" w:lineRule="exact"/>
        <w:ind w:firstLine="482" w:firstLineChars="200"/>
        <w:jc w:val="left"/>
        <w:outlineLvl w:val="0"/>
        <w:rPr>
          <w:rFonts w:hint="eastAsia" w:ascii="宋体" w:hAnsi="宋体" w:eastAsia="宋体" w:cs="宋体"/>
          <w:b/>
          <w:color w:val="auto"/>
          <w:kern w:val="0"/>
          <w:sz w:val="24"/>
          <w:szCs w:val="24"/>
          <w:highlight w:val="none"/>
          <w:shd w:val="clear" w:color="auto" w:fill="FFFFFF"/>
        </w:rPr>
      </w:pPr>
      <w:bookmarkStart w:id="189" w:name="_Toc9782"/>
      <w:r>
        <w:rPr>
          <w:rFonts w:hint="eastAsia" w:ascii="宋体" w:hAnsi="宋体" w:eastAsia="宋体" w:cs="宋体"/>
          <w:b/>
          <w:color w:val="auto"/>
          <w:kern w:val="0"/>
          <w:sz w:val="24"/>
          <w:szCs w:val="24"/>
          <w:highlight w:val="none"/>
          <w:shd w:val="clear" w:color="auto" w:fill="FFFFFF"/>
          <w:lang w:bidi="ar"/>
        </w:rPr>
        <w:t>十四、权属及知识产权</w:t>
      </w:r>
      <w:bookmarkEnd w:id="189"/>
    </w:p>
    <w:p w14:paraId="09DC4BF3">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1.供方必须保证对所提供的产品具有完整的所有权，产品无抵押，且产品所涉及的知识产权权属无争议。</w:t>
      </w:r>
    </w:p>
    <w:p w14:paraId="0FDA84C7">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2.若供方提供的产品或采用的工艺所涉及的知识产权是第三方授权许可使用的，供方须向需方提供相应知识产权许可证明。</w:t>
      </w:r>
    </w:p>
    <w:p w14:paraId="35ACA2F2">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做他用。除需方书面许可外，供方不得对需方提供的图纸等资料所涉及的知识产权作任何改进。</w:t>
      </w:r>
    </w:p>
    <w:p w14:paraId="7F33EDD6">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1664026B">
      <w:pPr>
        <w:widowControl/>
        <w:shd w:val="clear" w:color="auto" w:fill="FFFFFF"/>
        <w:adjustRightInd w:val="0"/>
        <w:snapToGrid w:val="0"/>
        <w:spacing w:line="420" w:lineRule="exact"/>
        <w:ind w:firstLine="480" w:firstLineChars="200"/>
        <w:jc w:val="left"/>
        <w:rPr>
          <w:rFonts w:hint="eastAsia" w:ascii="宋体" w:hAnsi="宋体" w:eastAsia="宋体" w:cs="宋体"/>
          <w:b/>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6D6B4D57">
      <w:pPr>
        <w:widowControl/>
        <w:adjustRightInd w:val="0"/>
        <w:snapToGrid w:val="0"/>
        <w:spacing w:line="420" w:lineRule="exact"/>
        <w:ind w:right="-105" w:rightChars="-50" w:firstLine="472" w:firstLineChars="196"/>
        <w:outlineLvl w:val="0"/>
        <w:rPr>
          <w:rFonts w:hint="eastAsia" w:ascii="宋体" w:hAnsi="宋体" w:eastAsia="宋体" w:cs="宋体"/>
          <w:b/>
          <w:color w:val="auto"/>
          <w:kern w:val="0"/>
          <w:sz w:val="24"/>
          <w:szCs w:val="24"/>
          <w:highlight w:val="none"/>
        </w:rPr>
      </w:pPr>
      <w:bookmarkStart w:id="190" w:name="_Toc16590"/>
      <w:r>
        <w:rPr>
          <w:rFonts w:hint="eastAsia" w:ascii="宋体" w:hAnsi="宋体" w:eastAsia="宋体" w:cs="宋体"/>
          <w:b/>
          <w:color w:val="auto"/>
          <w:kern w:val="0"/>
          <w:sz w:val="24"/>
          <w:szCs w:val="24"/>
          <w:highlight w:val="none"/>
          <w:lang w:bidi="ar"/>
        </w:rPr>
        <w:t>十五、违约责任</w:t>
      </w:r>
      <w:bookmarkEnd w:id="190"/>
    </w:p>
    <w:p w14:paraId="7EB8BE72">
      <w:pPr>
        <w:adjustRightInd w:val="0"/>
        <w:snapToGrid w:val="0"/>
        <w:spacing w:line="4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1</w:t>
      </w:r>
      <w:r>
        <w:rPr>
          <w:rFonts w:hint="eastAsia" w:ascii="宋体" w:hAnsi="宋体" w:eastAsia="宋体" w:cs="宋体"/>
          <w:color w:val="auto"/>
          <w:kern w:val="0"/>
          <w:sz w:val="24"/>
          <w:szCs w:val="24"/>
          <w:highlight w:val="none"/>
          <w:lang w:bidi="ar"/>
        </w:rPr>
        <w:t>.供方逾期交货的，每逾期一日应按照合同总额的</w:t>
      </w:r>
      <w:r>
        <w:rPr>
          <w:rFonts w:hint="eastAsia" w:ascii="宋体" w:hAnsi="宋体" w:eastAsia="宋体" w:cs="宋体"/>
          <w:color w:val="auto"/>
          <w:kern w:val="0"/>
          <w:highlight w:val="none"/>
          <w:u w:val="single"/>
          <w:lang w:bidi="ar"/>
        </w:rPr>
        <w:t>0.03%</w:t>
      </w:r>
      <w:r>
        <w:rPr>
          <w:rFonts w:hint="eastAsia" w:ascii="宋体" w:hAnsi="宋体" w:eastAsia="宋体" w:cs="宋体"/>
          <w:color w:val="auto"/>
          <w:kern w:val="0"/>
          <w:sz w:val="24"/>
          <w:szCs w:val="24"/>
          <w:highlight w:val="none"/>
          <w:lang w:bidi="ar"/>
        </w:rPr>
        <w:t>向需方支付违约金，并承担需方因此所受到的损失费用。</w:t>
      </w:r>
    </w:p>
    <w:p w14:paraId="164A1227">
      <w:pPr>
        <w:adjustRightInd w:val="0"/>
        <w:snapToGrid w:val="0"/>
        <w:spacing w:line="4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2.供方所交产品在质保期内发生非人为原因损坏的，除按本合同第二条承担质保责任外，每发生一次，应向需方支付合同金额5%的违约金。</w:t>
      </w:r>
    </w:p>
    <w:p w14:paraId="26D5D718">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"http://baike.baidu.com/view/38951.htm" </w:instrText>
      </w:r>
      <w:r>
        <w:rPr>
          <w:rFonts w:hint="eastAsia" w:ascii="宋体" w:hAnsi="宋体" w:eastAsia="宋体" w:cs="宋体"/>
          <w:color w:val="auto"/>
          <w:highlight w:val="none"/>
        </w:rPr>
        <w:fldChar w:fldCharType="separate"/>
      </w:r>
      <w:r>
        <w:rPr>
          <w:rFonts w:hint="eastAsia" w:ascii="宋体" w:hAnsi="宋体" w:eastAsia="宋体" w:cs="宋体"/>
          <w:color w:val="auto"/>
          <w:kern w:val="0"/>
          <w:sz w:val="24"/>
          <w:szCs w:val="24"/>
          <w:highlight w:val="none"/>
          <w:shd w:val="clear" w:color="auto" w:fill="FFFFFF"/>
          <w:lang w:bidi="ar"/>
        </w:rPr>
        <w:t>违约金</w:t>
      </w:r>
      <w:r>
        <w:rPr>
          <w:rFonts w:hint="eastAsia" w:ascii="宋体" w:hAnsi="宋体" w:eastAsia="宋体" w:cs="宋体"/>
          <w:color w:val="auto"/>
          <w:kern w:val="0"/>
          <w:sz w:val="24"/>
          <w:szCs w:val="24"/>
          <w:highlight w:val="none"/>
          <w:shd w:val="clear" w:color="auto" w:fill="FFFFFF"/>
          <w:lang w:bidi="ar"/>
        </w:rPr>
        <w:fldChar w:fldCharType="end"/>
      </w:r>
      <w:r>
        <w:rPr>
          <w:rFonts w:hint="eastAsia" w:ascii="宋体" w:hAnsi="宋体" w:eastAsia="宋体" w:cs="宋体"/>
          <w:color w:val="auto"/>
          <w:kern w:val="0"/>
          <w:sz w:val="24"/>
          <w:szCs w:val="24"/>
          <w:highlight w:val="none"/>
          <w:shd w:val="clear" w:color="auto" w:fill="FFFFFF"/>
          <w:lang w:bidi="ar"/>
        </w:rPr>
        <w:t>。</w:t>
      </w:r>
    </w:p>
    <w:p w14:paraId="2835BD84">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285517F8">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822CF75">
      <w:pPr>
        <w:pStyle w:val="330"/>
        <w:widowControl/>
        <w:spacing w:line="420" w:lineRule="exact"/>
        <w:ind w:right="-99" w:rightChars="-47"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0FBC80A5">
      <w:pPr>
        <w:numPr>
          <w:ilvl w:val="0"/>
          <w:numId w:val="59"/>
        </w:numPr>
        <w:adjustRightInd w:val="0"/>
        <w:snapToGrid w:val="0"/>
        <w:spacing w:line="300" w:lineRule="auto"/>
        <w:ind w:firstLine="482" w:firstLineChars="200"/>
        <w:outlineLvl w:val="0"/>
        <w:rPr>
          <w:rFonts w:hint="eastAsia" w:ascii="宋体" w:hAnsi="宋体" w:eastAsia="宋体" w:cs="宋体"/>
          <w:b/>
          <w:color w:val="auto"/>
          <w:kern w:val="0"/>
          <w:sz w:val="24"/>
          <w:szCs w:val="24"/>
          <w:highlight w:val="none"/>
        </w:rPr>
      </w:pPr>
      <w:bookmarkStart w:id="191" w:name="_Toc31273"/>
      <w:r>
        <w:rPr>
          <w:rFonts w:hint="eastAsia" w:ascii="宋体" w:hAnsi="宋体" w:eastAsia="宋体" w:cs="宋体"/>
          <w:b/>
          <w:color w:val="auto"/>
          <w:kern w:val="0"/>
          <w:sz w:val="24"/>
          <w:szCs w:val="24"/>
          <w:highlight w:val="none"/>
          <w:lang w:bidi="ar"/>
        </w:rPr>
        <w:t>不可抗力</w:t>
      </w:r>
      <w:bookmarkEnd w:id="191"/>
    </w:p>
    <w:p w14:paraId="50C19B5D">
      <w:pPr>
        <w:adjustRightInd w:val="0"/>
        <w:snapToGrid w:val="0"/>
        <w:spacing w:line="30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181B0982">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92" w:name="_Toc15713"/>
      <w:r>
        <w:rPr>
          <w:rFonts w:hint="eastAsia" w:ascii="宋体" w:hAnsi="宋体" w:eastAsia="宋体" w:cs="宋体"/>
          <w:b/>
          <w:color w:val="auto"/>
          <w:kern w:val="0"/>
          <w:sz w:val="24"/>
          <w:szCs w:val="24"/>
          <w:highlight w:val="none"/>
          <w:lang w:bidi="ar"/>
        </w:rPr>
        <w:t>十七、安全环保条款</w:t>
      </w:r>
      <w:bookmarkEnd w:id="192"/>
    </w:p>
    <w:p w14:paraId="501BC9B1">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1.供方须严格遵守安全环保法律、法规和相关的安全环保管理制度。</w:t>
      </w:r>
    </w:p>
    <w:p w14:paraId="59B88099">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62E8B672">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3.供方在产品生产过程中具有安全环保技术措施和专项方案，并严格贯彻落实。</w:t>
      </w:r>
    </w:p>
    <w:p w14:paraId="3A184530">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93" w:name="_Toc5727"/>
      <w:r>
        <w:rPr>
          <w:rFonts w:hint="eastAsia" w:ascii="宋体" w:hAnsi="宋体" w:eastAsia="宋体" w:cs="宋体"/>
          <w:b/>
          <w:color w:val="auto"/>
          <w:kern w:val="0"/>
          <w:sz w:val="24"/>
          <w:szCs w:val="24"/>
          <w:highlight w:val="none"/>
          <w:lang w:bidi="ar"/>
        </w:rPr>
        <w:t>十八、廉洁条款</w:t>
      </w:r>
      <w:bookmarkEnd w:id="193"/>
    </w:p>
    <w:p w14:paraId="2BFE5FC2">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156DBFCD">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2.供方若遇到需方人员索贿，请及时向需方公司纪委举报，联系人：    ，联系电话：         。</w:t>
      </w:r>
    </w:p>
    <w:p w14:paraId="68592560">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94" w:name="_Toc1669"/>
      <w:r>
        <w:rPr>
          <w:rFonts w:hint="eastAsia" w:ascii="宋体" w:hAnsi="宋体" w:eastAsia="宋体" w:cs="宋体"/>
          <w:b/>
          <w:color w:val="auto"/>
          <w:kern w:val="0"/>
          <w:sz w:val="24"/>
          <w:szCs w:val="24"/>
          <w:highlight w:val="none"/>
          <w:lang w:bidi="ar"/>
        </w:rPr>
        <w:t>十九、解决合同纠纷的方式</w:t>
      </w:r>
      <w:bookmarkEnd w:id="194"/>
    </w:p>
    <w:p w14:paraId="5EA4D177">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发生争议由双方协商解决，协商不成提交需方所在地人民法院裁决。诉讼期间，除争议条款外，合同其他条款，供方应继续履行。</w:t>
      </w:r>
    </w:p>
    <w:p w14:paraId="724AEFD5">
      <w:pPr>
        <w:widowControl/>
        <w:adjustRightInd w:val="0"/>
        <w:snapToGrid w:val="0"/>
        <w:spacing w:line="420" w:lineRule="exact"/>
        <w:ind w:left="254" w:leftChars="121" w:right="-105" w:rightChars="-50" w:firstLine="120" w:firstLineChars="50"/>
        <w:outlineLvl w:val="0"/>
        <w:rPr>
          <w:rFonts w:hint="eastAsia" w:ascii="宋体" w:hAnsi="宋体" w:eastAsia="宋体" w:cs="宋体"/>
          <w:b/>
          <w:color w:val="auto"/>
          <w:kern w:val="0"/>
          <w:sz w:val="24"/>
          <w:szCs w:val="24"/>
          <w:highlight w:val="none"/>
        </w:rPr>
      </w:pPr>
      <w:bookmarkStart w:id="195" w:name="_Toc29277"/>
      <w:r>
        <w:rPr>
          <w:rFonts w:hint="eastAsia" w:ascii="宋体" w:hAnsi="宋体" w:eastAsia="宋体" w:cs="宋体"/>
          <w:b/>
          <w:color w:val="auto"/>
          <w:kern w:val="0"/>
          <w:sz w:val="24"/>
          <w:szCs w:val="24"/>
          <w:highlight w:val="none"/>
          <w:lang w:bidi="ar"/>
        </w:rPr>
        <w:t>二十、合同生效：</w:t>
      </w:r>
      <w:bookmarkEnd w:id="195"/>
    </w:p>
    <w:p w14:paraId="3EC49DB8">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本合同一式</w:t>
      </w:r>
      <w:r>
        <w:rPr>
          <w:rFonts w:hint="eastAsia" w:ascii="宋体" w:hAnsi="宋体" w:eastAsia="宋体" w:cs="宋体"/>
          <w:color w:val="auto"/>
          <w:kern w:val="0"/>
          <w:sz w:val="24"/>
          <w:szCs w:val="24"/>
          <w:highlight w:val="none"/>
          <w:u w:val="single"/>
          <w:lang w:bidi="ar"/>
        </w:rPr>
        <w:t>肆</w:t>
      </w:r>
      <w:r>
        <w:rPr>
          <w:rFonts w:hint="eastAsia" w:ascii="宋体" w:hAnsi="宋体" w:eastAsia="宋体" w:cs="宋体"/>
          <w:color w:val="auto"/>
          <w:kern w:val="0"/>
          <w:sz w:val="24"/>
          <w:szCs w:val="24"/>
          <w:highlight w:val="none"/>
          <w:lang w:bidi="ar"/>
        </w:rPr>
        <w:t>份，供方</w:t>
      </w:r>
      <w:r>
        <w:rPr>
          <w:rFonts w:hint="eastAsia" w:ascii="宋体" w:hAnsi="宋体" w:eastAsia="宋体" w:cs="宋体"/>
          <w:color w:val="auto"/>
          <w:kern w:val="0"/>
          <w:sz w:val="24"/>
          <w:szCs w:val="24"/>
          <w:highlight w:val="none"/>
          <w:u w:val="single"/>
          <w:lang w:bidi="ar"/>
        </w:rPr>
        <w:t>壹</w:t>
      </w:r>
      <w:r>
        <w:rPr>
          <w:rFonts w:hint="eastAsia" w:ascii="宋体" w:hAnsi="宋体" w:eastAsia="宋体" w:cs="宋体"/>
          <w:color w:val="auto"/>
          <w:kern w:val="0"/>
          <w:sz w:val="24"/>
          <w:szCs w:val="24"/>
          <w:highlight w:val="none"/>
          <w:lang w:bidi="ar"/>
        </w:rPr>
        <w:t>份，需方</w:t>
      </w:r>
      <w:r>
        <w:rPr>
          <w:rFonts w:hint="eastAsia" w:ascii="宋体" w:hAnsi="宋体" w:eastAsia="宋体" w:cs="宋体"/>
          <w:color w:val="auto"/>
          <w:kern w:val="0"/>
          <w:sz w:val="24"/>
          <w:szCs w:val="24"/>
          <w:highlight w:val="none"/>
          <w:u w:val="single"/>
          <w:lang w:bidi="ar"/>
        </w:rPr>
        <w:t>叁</w:t>
      </w:r>
      <w:r>
        <w:rPr>
          <w:rFonts w:hint="eastAsia" w:ascii="宋体" w:hAnsi="宋体" w:eastAsia="宋体" w:cs="宋体"/>
          <w:color w:val="auto"/>
          <w:kern w:val="0"/>
          <w:sz w:val="24"/>
          <w:szCs w:val="24"/>
          <w:highlight w:val="none"/>
          <w:lang w:bidi="ar"/>
        </w:rPr>
        <w:t>份，自双方签字并加盖公司合同专用章或公司公章之日起生效，附件与本合同具有同等法律效力。</w:t>
      </w:r>
    </w:p>
    <w:p w14:paraId="01FEFAE7">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96" w:name="_Toc5353"/>
      <w:r>
        <w:rPr>
          <w:rFonts w:hint="eastAsia" w:ascii="宋体" w:hAnsi="宋体" w:eastAsia="宋体" w:cs="宋体"/>
          <w:b/>
          <w:color w:val="auto"/>
          <w:kern w:val="0"/>
          <w:sz w:val="24"/>
          <w:szCs w:val="24"/>
          <w:highlight w:val="none"/>
          <w:lang w:bidi="ar"/>
        </w:rPr>
        <w:t>二十一、</w:t>
      </w:r>
      <w:r>
        <w:rPr>
          <w:rFonts w:hint="eastAsia" w:ascii="宋体" w:hAnsi="宋体" w:eastAsia="宋体" w:cs="宋体"/>
          <w:bCs/>
          <w:color w:val="auto"/>
          <w:kern w:val="0"/>
          <w:sz w:val="24"/>
          <w:szCs w:val="24"/>
          <w:highlight w:val="none"/>
          <w:lang w:bidi="ar"/>
        </w:rPr>
        <w:t>其它未尽事宜，双方可</w:t>
      </w:r>
      <w:r>
        <w:rPr>
          <w:rFonts w:hint="eastAsia" w:ascii="宋体" w:hAnsi="宋体" w:eastAsia="宋体" w:cs="宋体"/>
          <w:bCs/>
          <w:color w:val="auto"/>
          <w:sz w:val="24"/>
          <w:szCs w:val="24"/>
          <w:highlight w:val="none"/>
          <w:lang w:bidi="ar"/>
        </w:rPr>
        <w:t>签订补充协议</w:t>
      </w:r>
      <w:r>
        <w:rPr>
          <w:rFonts w:hint="eastAsia" w:ascii="宋体" w:hAnsi="宋体" w:eastAsia="宋体" w:cs="宋体"/>
          <w:bCs/>
          <w:color w:val="auto"/>
          <w:kern w:val="0"/>
          <w:sz w:val="24"/>
          <w:szCs w:val="24"/>
          <w:highlight w:val="none"/>
          <w:lang w:bidi="ar"/>
        </w:rPr>
        <w:t>。</w:t>
      </w:r>
      <w:bookmarkEnd w:id="196"/>
    </w:p>
    <w:p w14:paraId="117F9FA2">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（以下为签字页，无正文）</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2EF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550BB246">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供方（盖章）： </w:t>
            </w:r>
          </w:p>
          <w:p w14:paraId="155EE25B">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地址： </w:t>
            </w:r>
          </w:p>
          <w:p w14:paraId="3DF8A4CC">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委托代理人：</w:t>
            </w:r>
          </w:p>
          <w:p w14:paraId="574E1BFF">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电话/传真： </w:t>
            </w:r>
          </w:p>
          <w:p w14:paraId="5658F222">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开户银行： </w:t>
            </w:r>
          </w:p>
          <w:p w14:paraId="3858814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账号： </w:t>
            </w:r>
          </w:p>
          <w:p w14:paraId="4549A44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749C7F1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需方（盖章）：       </w:t>
            </w:r>
          </w:p>
          <w:p w14:paraId="560BDC24">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地址：      </w:t>
            </w:r>
          </w:p>
          <w:p w14:paraId="7279B12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委托代理人：</w:t>
            </w:r>
          </w:p>
          <w:p w14:paraId="4D25913A">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电话/传真： </w:t>
            </w:r>
          </w:p>
          <w:p w14:paraId="681972F7">
            <w:pPr>
              <w:spacing w:line="420" w:lineRule="exac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开户银行： </w:t>
            </w:r>
          </w:p>
          <w:p w14:paraId="16320993">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账号： </w:t>
            </w:r>
          </w:p>
          <w:p w14:paraId="7609F523">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纳税人识别号： </w:t>
            </w:r>
          </w:p>
        </w:tc>
      </w:tr>
    </w:tbl>
    <w:p w14:paraId="419B67D0">
      <w:pPr>
        <w:spacing w:line="360" w:lineRule="auto"/>
        <w:ind w:firstLine="525" w:firstLineChars="250"/>
        <w:rPr>
          <w:rFonts w:hint="eastAsia" w:ascii="宋体" w:hAnsi="宋体" w:eastAsia="宋体" w:cs="宋体"/>
          <w:color w:val="auto"/>
          <w:highlight w:val="none"/>
        </w:rPr>
      </w:pPr>
    </w:p>
    <w:p w14:paraId="14394A65">
      <w:pPr>
        <w:adjustRightInd w:val="0"/>
        <w:snapToGrid w:val="0"/>
        <w:spacing w:line="420" w:lineRule="exact"/>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附件一：产品及技术服务清单</w:t>
      </w:r>
    </w:p>
    <w:tbl>
      <w:tblPr>
        <w:tblStyle w:val="47"/>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0473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1B781A8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序号</w:t>
            </w:r>
          </w:p>
        </w:tc>
        <w:tc>
          <w:tcPr>
            <w:tcW w:w="2067" w:type="dxa"/>
            <w:vAlign w:val="center"/>
          </w:tcPr>
          <w:p w14:paraId="7731570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分项名称</w:t>
            </w:r>
          </w:p>
        </w:tc>
        <w:tc>
          <w:tcPr>
            <w:tcW w:w="2410" w:type="dxa"/>
            <w:noWrap/>
            <w:vAlign w:val="center"/>
          </w:tcPr>
          <w:p w14:paraId="493F878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型号和规格</w:t>
            </w:r>
          </w:p>
        </w:tc>
        <w:tc>
          <w:tcPr>
            <w:tcW w:w="850" w:type="dxa"/>
            <w:noWrap/>
            <w:vAlign w:val="center"/>
          </w:tcPr>
          <w:p w14:paraId="087B5F18">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w:t>
            </w:r>
          </w:p>
        </w:tc>
        <w:tc>
          <w:tcPr>
            <w:tcW w:w="993" w:type="dxa"/>
            <w:vAlign w:val="center"/>
          </w:tcPr>
          <w:p w14:paraId="624AA94D">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数量</w:t>
            </w:r>
          </w:p>
        </w:tc>
        <w:tc>
          <w:tcPr>
            <w:tcW w:w="2863" w:type="dxa"/>
            <w:vAlign w:val="center"/>
          </w:tcPr>
          <w:p w14:paraId="146CAA4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w:t>
            </w:r>
          </w:p>
        </w:tc>
      </w:tr>
      <w:tr w14:paraId="753F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3D26C8D0">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w:t>
            </w:r>
          </w:p>
        </w:tc>
        <w:tc>
          <w:tcPr>
            <w:tcW w:w="2067" w:type="dxa"/>
          </w:tcPr>
          <w:p w14:paraId="7EB410BD">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0097912B">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4BEC42EE">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49BFCEF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69465253">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4829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13CC2ED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w:t>
            </w:r>
          </w:p>
        </w:tc>
        <w:tc>
          <w:tcPr>
            <w:tcW w:w="2067" w:type="dxa"/>
          </w:tcPr>
          <w:p w14:paraId="3F493552">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30664301">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7AEC456A">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1EA0F7DA">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57B3AA2A">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4080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2359EFAD">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w:t>
            </w:r>
          </w:p>
        </w:tc>
        <w:tc>
          <w:tcPr>
            <w:tcW w:w="2067" w:type="dxa"/>
          </w:tcPr>
          <w:p w14:paraId="6ECE8DD0">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5E337581">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1D22BA1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418E7A39">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7B210417">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68F7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1983AC6E">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w:t>
            </w:r>
          </w:p>
        </w:tc>
        <w:tc>
          <w:tcPr>
            <w:tcW w:w="2067" w:type="dxa"/>
          </w:tcPr>
          <w:p w14:paraId="69FF0D83">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132F1224">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71AE9808">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77ADC04C">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027246E2">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0B54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5D3CA80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5</w:t>
            </w:r>
          </w:p>
        </w:tc>
        <w:tc>
          <w:tcPr>
            <w:tcW w:w="2067" w:type="dxa"/>
          </w:tcPr>
          <w:p w14:paraId="770FC1B7">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2410" w:type="dxa"/>
          </w:tcPr>
          <w:p w14:paraId="7C1D8406">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850" w:type="dxa"/>
          </w:tcPr>
          <w:p w14:paraId="5F0346E6">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33D65997">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7456A38A">
            <w:pPr>
              <w:adjustRightInd w:val="0"/>
              <w:snapToGrid w:val="0"/>
              <w:spacing w:line="420" w:lineRule="exact"/>
              <w:jc w:val="center"/>
              <w:rPr>
                <w:rFonts w:hint="eastAsia" w:ascii="宋体" w:hAnsi="宋体" w:eastAsia="宋体" w:cs="宋体"/>
                <w:color w:val="auto"/>
                <w:sz w:val="24"/>
                <w:szCs w:val="24"/>
                <w:highlight w:val="none"/>
                <w:lang w:bidi="ar"/>
              </w:rPr>
            </w:pPr>
          </w:p>
        </w:tc>
      </w:tr>
    </w:tbl>
    <w:p w14:paraId="025823C4">
      <w:pPr>
        <w:rPr>
          <w:rFonts w:hint="eastAsia" w:ascii="宋体" w:hAnsi="宋体" w:eastAsia="宋体" w:cs="宋体"/>
          <w:color w:val="auto"/>
          <w:highlight w:val="none"/>
        </w:rPr>
      </w:pPr>
    </w:p>
    <w:bookmarkEnd w:id="167"/>
    <w:bookmarkEnd w:id="168"/>
    <w:bookmarkEnd w:id="169"/>
    <w:bookmarkEnd w:id="170"/>
    <w:bookmarkEnd w:id="171"/>
    <w:bookmarkEnd w:id="172"/>
    <w:p w14:paraId="58F9C310">
      <w:pPr>
        <w:jc w:val="left"/>
        <w:rPr>
          <w:rFonts w:hint="eastAsia" w:ascii="宋体" w:hAnsi="宋体" w:eastAsia="宋体" w:cs="宋体"/>
          <w:color w:val="auto"/>
          <w:highlight w:val="none"/>
        </w:rPr>
      </w:pPr>
      <w:bookmarkStart w:id="197" w:name="_Toc10683"/>
      <w:bookmarkStart w:id="198" w:name="_Toc6865"/>
      <w:bookmarkStart w:id="199" w:name="_Toc27778"/>
      <w:bookmarkStart w:id="200" w:name="_Toc19548"/>
      <w:bookmarkStart w:id="201" w:name="_Toc18434"/>
      <w:bookmarkStart w:id="202" w:name="_Toc22618"/>
      <w:bookmarkStart w:id="203" w:name="_Toc27199"/>
      <w:bookmarkStart w:id="204" w:name="_Toc23896"/>
      <w:bookmarkStart w:id="205" w:name="_Toc20712"/>
      <w:bookmarkStart w:id="206" w:name="_Toc29865"/>
      <w:bookmarkStart w:id="207" w:name="_Toc3220"/>
      <w:bookmarkStart w:id="208" w:name="_Toc26230_WPSOffice_Level2"/>
      <w:bookmarkStart w:id="209" w:name="_Toc10047_WPSOffice_Level2"/>
      <w:r>
        <w:rPr>
          <w:rFonts w:hint="eastAsia" w:ascii="宋体" w:hAnsi="宋体" w:eastAsia="宋体" w:cs="宋体"/>
          <w:color w:val="auto"/>
          <w:highlight w:val="none"/>
        </w:rPr>
        <w:br w:type="page"/>
      </w:r>
    </w:p>
    <w:p w14:paraId="51F0CB0E">
      <w:pPr>
        <w:tabs>
          <w:tab w:val="left" w:pos="7665"/>
        </w:tabs>
        <w:ind w:firstLine="480"/>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第七章 投标文件格式</w:t>
      </w:r>
      <w:bookmarkEnd w:id="197"/>
      <w:bookmarkEnd w:id="198"/>
      <w:bookmarkEnd w:id="199"/>
      <w:bookmarkEnd w:id="200"/>
      <w:bookmarkEnd w:id="201"/>
      <w:bookmarkEnd w:id="202"/>
      <w:bookmarkEnd w:id="203"/>
      <w:bookmarkEnd w:id="204"/>
      <w:bookmarkEnd w:id="205"/>
      <w:bookmarkEnd w:id="206"/>
      <w:bookmarkEnd w:id="207"/>
    </w:p>
    <w:p w14:paraId="4997F206">
      <w:pPr>
        <w:autoSpaceDE w:val="0"/>
        <w:autoSpaceDN w:val="0"/>
        <w:adjustRightInd w:val="0"/>
        <w:spacing w:line="360" w:lineRule="auto"/>
        <w:jc w:val="left"/>
        <w:rPr>
          <w:rFonts w:hint="eastAsia" w:ascii="宋体" w:hAnsi="宋体" w:eastAsia="宋体" w:cs="宋体"/>
          <w:b/>
          <w:bCs/>
          <w:color w:val="auto"/>
          <w:kern w:val="0"/>
          <w:sz w:val="28"/>
          <w:szCs w:val="28"/>
          <w:highlight w:val="none"/>
        </w:rPr>
      </w:pPr>
      <w:r>
        <w:rPr>
          <w:rFonts w:hint="eastAsia" w:ascii="宋体" w:hAnsi="宋体" w:eastAsia="宋体" w:cs="宋体"/>
          <w:b/>
          <w:bCs/>
          <w:color w:val="auto"/>
          <w:sz w:val="28"/>
          <w:szCs w:val="28"/>
          <w:highlight w:val="none"/>
        </w:rPr>
        <mc:AlternateContent>
          <mc:Choice Requires="wps">
            <w:drawing>
              <wp:anchor distT="0" distB="0" distL="114300" distR="114300" simplePos="0" relativeHeight="251659264" behindDoc="1" locked="0" layoutInCell="1" allowOverlap="1">
                <wp:simplePos x="0" y="0"/>
                <wp:positionH relativeFrom="column">
                  <wp:posOffset>4072890</wp:posOffset>
                </wp:positionH>
                <wp:positionV relativeFrom="paragraph">
                  <wp:posOffset>371475</wp:posOffset>
                </wp:positionV>
                <wp:extent cx="1241425" cy="412115"/>
                <wp:effectExtent l="4445" t="4445" r="11430" b="21590"/>
                <wp:wrapTight wrapText="bothSides">
                  <wp:wrapPolygon>
                    <wp:start x="21592" y="-2"/>
                    <wp:lineTo x="0" y="0"/>
                    <wp:lineTo x="0" y="21600"/>
                    <wp:lineTo x="21592" y="21602"/>
                    <wp:lineTo x="8" y="21602"/>
                    <wp:lineTo x="21600" y="21600"/>
                    <wp:lineTo x="21600" y="0"/>
                    <wp:lineTo x="8" y="-2"/>
                    <wp:lineTo x="21592" y="-2"/>
                  </wp:wrapPolygon>
                </wp:wrapTight>
                <wp:docPr id="1"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0D6DE8B">
                            <w:pPr>
                              <w:rPr>
                                <w:rFonts w:ascii="黑体" w:eastAsia="黑体"/>
                                <w:b/>
                                <w:sz w:val="28"/>
                                <w:szCs w:val="28"/>
                              </w:rPr>
                            </w:pPr>
                            <w:r>
                              <w:rPr>
                                <w:rFonts w:hint="eastAsia" w:ascii="黑体" w:hAnsi="宋体" w:eastAsia="黑体"/>
                                <w:b/>
                                <w:sz w:val="28"/>
                                <w:szCs w:val="28"/>
                              </w:rPr>
                              <w:t>正本或副本</w:t>
                            </w:r>
                          </w:p>
                        </w:txbxContent>
                      </wps:txbx>
                      <wps:bodyPr wrap="square" upright="1"/>
                    </wps:wsp>
                  </a:graphicData>
                </a:graphic>
              </wp:anchor>
            </w:drawing>
          </mc:Choice>
          <mc:Fallback>
            <w:pict>
              <v:shape id="_x0000_s1026" o:spid="_x0000_s1026" o:spt="202" type="#_x0000_t202" style="position:absolute;left:0pt;margin-left:320.7pt;margin-top:29.25pt;height:32.45pt;width:97.75pt;mso-wrap-distance-left:9pt;mso-wrap-distance-right:9pt;z-index:-251657216;mso-width-relative:page;mso-height-relative:page;" fillcolor="#FFFFFF" filled="t" stroked="t" coordsize="21600,21600" wrapcoords="21592 -2 0 0 0 21600 21592 21602 8 21602 21600 21600 21600 0 8 -2 21592 -2" o:gfxdata="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VXPBF2QAAAAoBAAAP&#10;AAAAAAAAAAEAIAAAACIAAABkcnMvZG93bnJldi54bWxQSwECFAAUAAAACACHTuJAW6Sl8BcCAABS&#10;BAAADgAAAAAAAAABACAAAAAoAQAAZHJzL2Uyb0RvYy54bWxQSwUGAAAAAAYABgBZAQAAsQUAAAAA&#10;">
                <v:fill on="t" focussize="0,0"/>
                <v:stroke color="#000000" joinstyle="miter"/>
                <v:imagedata o:title=""/>
                <o:lock v:ext="edit" aspectratio="f"/>
                <v:textbox>
                  <w:txbxContent>
                    <w:p w14:paraId="50D6DE8B">
                      <w:pPr>
                        <w:rPr>
                          <w:rFonts w:ascii="黑体" w:eastAsia="黑体"/>
                          <w:b/>
                          <w:sz w:val="28"/>
                          <w:szCs w:val="28"/>
                        </w:rPr>
                      </w:pPr>
                      <w:r>
                        <w:rPr>
                          <w:rFonts w:hint="eastAsia" w:ascii="黑体" w:hAnsi="宋体" w:eastAsia="黑体"/>
                          <w:b/>
                          <w:sz w:val="28"/>
                          <w:szCs w:val="28"/>
                        </w:rPr>
                        <w:t>正本或副本</w:t>
                      </w:r>
                    </w:p>
                  </w:txbxContent>
                </v:textbox>
                <w10:wrap type="tight"/>
              </v:shape>
            </w:pict>
          </mc:Fallback>
        </mc:AlternateContent>
      </w:r>
      <w:r>
        <w:rPr>
          <w:rFonts w:hint="eastAsia" w:ascii="宋体" w:hAnsi="宋体" w:eastAsia="宋体" w:cs="宋体"/>
          <w:b/>
          <w:bCs/>
          <w:color w:val="auto"/>
          <w:kern w:val="0"/>
          <w:sz w:val="28"/>
          <w:szCs w:val="28"/>
          <w:highlight w:val="none"/>
        </w:rPr>
        <w:t>（一）投标文件封面格式</w:t>
      </w:r>
      <w:bookmarkEnd w:id="208"/>
      <w:bookmarkEnd w:id="209"/>
    </w:p>
    <w:p w14:paraId="75902922">
      <w:pPr>
        <w:spacing w:line="360" w:lineRule="auto"/>
        <w:rPr>
          <w:rFonts w:hint="eastAsia" w:ascii="宋体" w:hAnsi="宋体" w:eastAsia="宋体" w:cs="宋体"/>
          <w:bCs/>
          <w:color w:val="auto"/>
          <w:highlight w:val="none"/>
        </w:rPr>
      </w:pPr>
    </w:p>
    <w:p w14:paraId="12EA3AE5">
      <w:pPr>
        <w:spacing w:line="360" w:lineRule="auto"/>
        <w:rPr>
          <w:rFonts w:hint="eastAsia" w:ascii="宋体" w:hAnsi="宋体" w:eastAsia="宋体" w:cs="宋体"/>
          <w:bCs/>
          <w:color w:val="auto"/>
          <w:highlight w:val="none"/>
        </w:rPr>
      </w:pPr>
    </w:p>
    <w:p w14:paraId="03D16112">
      <w:pPr>
        <w:spacing w:line="360" w:lineRule="auto"/>
        <w:rPr>
          <w:rFonts w:hint="eastAsia" w:ascii="宋体" w:hAnsi="宋体" w:eastAsia="宋体" w:cs="宋体"/>
          <w:bCs/>
          <w:color w:val="auto"/>
          <w:highlight w:val="none"/>
        </w:rPr>
      </w:pPr>
    </w:p>
    <w:p w14:paraId="15ED4D7D">
      <w:pPr>
        <w:spacing w:line="360" w:lineRule="auto"/>
        <w:jc w:val="right"/>
        <w:rPr>
          <w:rFonts w:hint="eastAsia" w:ascii="宋体" w:hAnsi="宋体" w:eastAsia="宋体" w:cs="宋体"/>
          <w:color w:val="auto"/>
          <w:sz w:val="24"/>
          <w:highlight w:val="none"/>
        </w:rPr>
      </w:pPr>
    </w:p>
    <w:p w14:paraId="23CD13D1">
      <w:pPr>
        <w:spacing w:line="360" w:lineRule="auto"/>
        <w:jc w:val="center"/>
        <w:rPr>
          <w:rFonts w:hint="eastAsia" w:ascii="宋体" w:hAnsi="宋体" w:eastAsia="宋体" w:cs="宋体"/>
          <w:color w:val="auto"/>
          <w:spacing w:val="78"/>
          <w:sz w:val="84"/>
          <w:szCs w:val="84"/>
          <w:highlight w:val="none"/>
        </w:rPr>
      </w:pPr>
      <w:bookmarkStart w:id="210" w:name="_Toc29817_WPSOffice_Level2"/>
      <w:bookmarkStart w:id="211" w:name="_Toc20033_WPSOffice_Level2"/>
      <w:bookmarkStart w:id="212" w:name="_Toc7020_WPSOffice_Level2"/>
      <w:bookmarkStart w:id="213" w:name="_Toc32524_WPSOffice_Level2"/>
      <w:bookmarkStart w:id="214" w:name="_Toc4064_WPSOffice_Level2"/>
      <w:bookmarkStart w:id="215" w:name="_Toc20808_WPSOffice_Level2"/>
      <w:bookmarkStart w:id="216" w:name="_Toc9716_WPSOffice_Level2"/>
      <w:bookmarkStart w:id="217" w:name="_Toc21662_WPSOffice_Level2"/>
    </w:p>
    <w:p w14:paraId="26DE8353">
      <w:pPr>
        <w:spacing w:line="360" w:lineRule="auto"/>
        <w:jc w:val="center"/>
        <w:rPr>
          <w:rFonts w:hint="eastAsia" w:ascii="宋体" w:hAnsi="宋体" w:eastAsia="宋体" w:cs="宋体"/>
          <w:b/>
          <w:bCs/>
          <w:color w:val="auto"/>
          <w:spacing w:val="78"/>
          <w:sz w:val="84"/>
          <w:szCs w:val="84"/>
          <w:highlight w:val="none"/>
        </w:rPr>
      </w:pPr>
      <w:bookmarkStart w:id="218" w:name="_Toc11899"/>
      <w:bookmarkStart w:id="219" w:name="_Toc29575"/>
      <w:r>
        <w:rPr>
          <w:rFonts w:hint="eastAsia" w:ascii="宋体" w:hAnsi="宋体" w:eastAsia="宋体" w:cs="宋体"/>
          <w:b/>
          <w:bCs/>
          <w:color w:val="auto"/>
          <w:spacing w:val="78"/>
          <w:sz w:val="84"/>
          <w:szCs w:val="84"/>
          <w:highlight w:val="none"/>
        </w:rPr>
        <w:t>投标文件</w:t>
      </w:r>
      <w:bookmarkEnd w:id="210"/>
      <w:bookmarkEnd w:id="211"/>
      <w:bookmarkEnd w:id="212"/>
      <w:bookmarkEnd w:id="213"/>
      <w:bookmarkEnd w:id="214"/>
      <w:bookmarkEnd w:id="215"/>
      <w:bookmarkEnd w:id="216"/>
      <w:bookmarkEnd w:id="217"/>
      <w:bookmarkEnd w:id="218"/>
      <w:bookmarkEnd w:id="219"/>
    </w:p>
    <w:p w14:paraId="2AAAB813">
      <w:pPr>
        <w:spacing w:line="360" w:lineRule="auto"/>
        <w:jc w:val="center"/>
        <w:rPr>
          <w:rFonts w:hint="eastAsia" w:ascii="宋体" w:hAnsi="宋体" w:eastAsia="宋体" w:cs="宋体"/>
          <w:bCs/>
          <w:color w:val="auto"/>
          <w:sz w:val="36"/>
          <w:highlight w:val="none"/>
        </w:rPr>
      </w:pPr>
    </w:p>
    <w:p w14:paraId="7FD833B6">
      <w:pPr>
        <w:pStyle w:val="17"/>
        <w:rPr>
          <w:rFonts w:hint="eastAsia" w:ascii="宋体" w:hAnsi="宋体" w:eastAsia="宋体" w:cs="宋体"/>
          <w:color w:val="auto"/>
          <w:highlight w:val="none"/>
        </w:rPr>
      </w:pPr>
    </w:p>
    <w:p w14:paraId="224CBCB5">
      <w:pPr>
        <w:spacing w:line="360" w:lineRule="auto"/>
        <w:jc w:val="center"/>
        <w:rPr>
          <w:rFonts w:hint="eastAsia" w:ascii="宋体" w:hAnsi="宋体" w:eastAsia="宋体" w:cs="宋体"/>
          <w:bCs/>
          <w:color w:val="auto"/>
          <w:sz w:val="36"/>
          <w:highlight w:val="none"/>
        </w:rPr>
      </w:pPr>
    </w:p>
    <w:p w14:paraId="78B1292E">
      <w:pPr>
        <w:spacing w:line="360" w:lineRule="auto"/>
        <w:jc w:val="center"/>
        <w:rPr>
          <w:rFonts w:hint="eastAsia" w:ascii="宋体" w:hAnsi="宋体" w:eastAsia="宋体" w:cs="宋体"/>
          <w:bCs/>
          <w:color w:val="auto"/>
          <w:sz w:val="36"/>
          <w:highlight w:val="none"/>
        </w:rPr>
      </w:pPr>
    </w:p>
    <w:p w14:paraId="637CFF51">
      <w:pPr>
        <w:spacing w:line="480" w:lineRule="auto"/>
        <w:ind w:firstLine="627" w:firstLineChars="196"/>
        <w:jc w:val="left"/>
        <w:rPr>
          <w:rFonts w:hint="eastAsia" w:ascii="宋体" w:hAnsi="宋体" w:eastAsia="宋体" w:cs="宋体"/>
          <w:bCs/>
          <w:color w:val="auto"/>
          <w:sz w:val="32"/>
          <w:szCs w:val="32"/>
          <w:highlight w:val="none"/>
        </w:rPr>
      </w:pPr>
    </w:p>
    <w:p w14:paraId="2065CFA3">
      <w:pPr>
        <w:spacing w:line="720" w:lineRule="auto"/>
        <w:ind w:firstLine="627" w:firstLineChars="196"/>
        <w:jc w:val="left"/>
        <w:rPr>
          <w:rFonts w:hint="eastAsia" w:ascii="宋体" w:hAnsi="宋体" w:eastAsia="宋体" w:cs="宋体"/>
          <w:bCs/>
          <w:color w:val="auto"/>
          <w:sz w:val="32"/>
          <w:szCs w:val="32"/>
          <w:highlight w:val="none"/>
        </w:rPr>
      </w:pPr>
      <w:bookmarkStart w:id="220" w:name="_Toc31882_WPSOffice_Level2"/>
      <w:bookmarkStart w:id="221" w:name="_Toc26598_WPSOffice_Level2"/>
      <w:bookmarkStart w:id="222" w:name="_Toc23010_WPSOffice_Level2"/>
      <w:bookmarkStart w:id="223" w:name="_Toc30371_WPSOffice_Level2"/>
      <w:bookmarkStart w:id="224" w:name="_Toc15515_WPSOffice_Level2"/>
      <w:bookmarkStart w:id="225" w:name="_Toc2320_WPSOffice_Level2"/>
      <w:bookmarkStart w:id="226" w:name="_Toc19398_WPSOffice_Level2"/>
      <w:bookmarkStart w:id="227" w:name="_Toc9778_WPSOffice_Level2"/>
      <w:bookmarkStart w:id="228" w:name="_Toc29486_WPSOffice_Level2"/>
      <w:r>
        <w:rPr>
          <w:rFonts w:hint="eastAsia" w:ascii="宋体" w:hAnsi="宋体" w:eastAsia="宋体" w:cs="宋体"/>
          <w:bCs/>
          <w:color w:val="auto"/>
          <w:sz w:val="32"/>
          <w:szCs w:val="32"/>
          <w:highlight w:val="none"/>
        </w:rPr>
        <w:t>项目名称：</w:t>
      </w:r>
      <w:bookmarkEnd w:id="220"/>
      <w:bookmarkEnd w:id="221"/>
      <w:bookmarkEnd w:id="222"/>
      <w:bookmarkEnd w:id="223"/>
      <w:bookmarkEnd w:id="224"/>
      <w:bookmarkEnd w:id="225"/>
      <w:bookmarkEnd w:id="226"/>
      <w:bookmarkEnd w:id="227"/>
      <w:bookmarkEnd w:id="228"/>
      <w:r>
        <w:rPr>
          <w:rFonts w:hint="eastAsia" w:ascii="宋体" w:hAnsi="宋体" w:eastAsia="宋体" w:cs="宋体"/>
          <w:color w:val="auto"/>
          <w:sz w:val="24"/>
          <w:highlight w:val="none"/>
          <w:u w:val="single"/>
        </w:rPr>
        <w:t xml:space="preserve">                                    </w:t>
      </w:r>
      <w:r>
        <w:rPr>
          <w:rFonts w:hint="eastAsia" w:ascii="宋体" w:hAnsi="宋体" w:eastAsia="宋体" w:cs="宋体"/>
          <w:bCs/>
          <w:color w:val="auto"/>
          <w:sz w:val="32"/>
          <w:szCs w:val="32"/>
          <w:highlight w:val="none"/>
        </w:rPr>
        <w:t xml:space="preserve"> </w:t>
      </w:r>
    </w:p>
    <w:p w14:paraId="00A061E7">
      <w:pPr>
        <w:spacing w:line="720" w:lineRule="auto"/>
        <w:ind w:firstLine="627" w:firstLineChars="196"/>
        <w:jc w:val="left"/>
        <w:rPr>
          <w:rFonts w:hint="eastAsia" w:ascii="宋体" w:hAnsi="宋体" w:eastAsia="宋体" w:cs="宋体"/>
          <w:b/>
          <w:color w:val="auto"/>
          <w:sz w:val="32"/>
          <w:szCs w:val="32"/>
          <w:highlight w:val="none"/>
          <w:u w:val="single"/>
        </w:rPr>
      </w:pPr>
      <w:bookmarkStart w:id="229" w:name="_Toc31872_WPSOffice_Level2"/>
      <w:bookmarkStart w:id="230" w:name="_Toc28690_WPSOffice_Level2"/>
      <w:bookmarkStart w:id="231" w:name="_Toc3226_WPSOffice_Level2"/>
      <w:bookmarkStart w:id="232" w:name="_Toc26283_WPSOffice_Level2"/>
      <w:bookmarkStart w:id="233" w:name="_Toc9452_WPSOffice_Level2"/>
      <w:bookmarkStart w:id="234" w:name="_Toc26962_WPSOffice_Level2"/>
      <w:bookmarkStart w:id="235" w:name="_Toc24131_WPSOffice_Level2"/>
      <w:bookmarkStart w:id="236" w:name="_Toc28984_WPSOffice_Level2"/>
      <w:bookmarkStart w:id="237" w:name="_Toc22386_WPSOffice_Level2"/>
      <w:r>
        <w:rPr>
          <w:rFonts w:hint="eastAsia" w:ascii="宋体" w:hAnsi="宋体" w:eastAsia="宋体" w:cs="宋体"/>
          <w:bCs/>
          <w:color w:val="auto"/>
          <w:sz w:val="32"/>
          <w:szCs w:val="32"/>
          <w:highlight w:val="none"/>
        </w:rPr>
        <w:t>项目编号：</w:t>
      </w:r>
      <w:bookmarkEnd w:id="229"/>
      <w:bookmarkEnd w:id="230"/>
      <w:bookmarkEnd w:id="231"/>
      <w:bookmarkEnd w:id="232"/>
      <w:bookmarkEnd w:id="233"/>
      <w:bookmarkEnd w:id="234"/>
      <w:bookmarkEnd w:id="235"/>
      <w:bookmarkEnd w:id="236"/>
      <w:bookmarkEnd w:id="237"/>
      <w:r>
        <w:rPr>
          <w:rFonts w:hint="eastAsia" w:ascii="宋体" w:hAnsi="宋体" w:eastAsia="宋体" w:cs="宋体"/>
          <w:b/>
          <w:color w:val="auto"/>
          <w:sz w:val="32"/>
          <w:szCs w:val="32"/>
          <w:highlight w:val="none"/>
          <w:u w:val="single"/>
        </w:rPr>
        <w:t xml:space="preserve">                           </w:t>
      </w:r>
      <w:bookmarkStart w:id="238" w:name="_Toc2362_WPSOffice_Level2"/>
      <w:bookmarkStart w:id="239" w:name="_Toc9592_WPSOffice_Level2"/>
      <w:bookmarkStart w:id="240" w:name="_Toc26614_WPSOffice_Level2"/>
      <w:bookmarkStart w:id="241" w:name="_Toc19730_WPSOffice_Level2"/>
      <w:bookmarkStart w:id="242" w:name="_Toc5432_WPSOffice_Level2"/>
      <w:bookmarkStart w:id="243" w:name="_Toc22272_WPSOffice_Level2"/>
      <w:bookmarkStart w:id="244" w:name="_Toc30493_WPSOffice_Level2"/>
      <w:bookmarkStart w:id="245" w:name="_Toc19360_WPSOffice_Level2"/>
      <w:bookmarkStart w:id="246" w:name="_Toc27008_WPSOffice_Level2"/>
    </w:p>
    <w:p w14:paraId="0B2C37C0">
      <w:pPr>
        <w:spacing w:line="720" w:lineRule="auto"/>
        <w:ind w:firstLine="627" w:firstLineChars="196"/>
        <w:jc w:val="left"/>
        <w:rPr>
          <w:rFonts w:hint="eastAsia" w:ascii="宋体" w:hAnsi="宋体" w:eastAsia="宋体" w:cs="宋体"/>
          <w:bCs/>
          <w:color w:val="auto"/>
          <w:sz w:val="32"/>
          <w:szCs w:val="32"/>
          <w:highlight w:val="none"/>
          <w:u w:val="single"/>
        </w:rPr>
      </w:pPr>
      <w:r>
        <w:rPr>
          <w:rFonts w:hint="eastAsia" w:ascii="宋体" w:hAnsi="宋体" w:eastAsia="宋体" w:cs="宋体"/>
          <w:bCs/>
          <w:color w:val="auto"/>
          <w:sz w:val="32"/>
          <w:szCs w:val="32"/>
          <w:highlight w:val="none"/>
        </w:rPr>
        <w:t>投标人名称：</w:t>
      </w:r>
      <w:bookmarkEnd w:id="238"/>
      <w:bookmarkEnd w:id="239"/>
      <w:bookmarkEnd w:id="240"/>
      <w:bookmarkEnd w:id="241"/>
      <w:bookmarkEnd w:id="242"/>
      <w:bookmarkEnd w:id="243"/>
      <w:bookmarkEnd w:id="244"/>
      <w:bookmarkEnd w:id="245"/>
      <w:bookmarkEnd w:id="246"/>
      <w:r>
        <w:rPr>
          <w:rFonts w:hint="eastAsia" w:ascii="宋体" w:hAnsi="宋体" w:eastAsia="宋体" w:cs="宋体"/>
          <w:bCs/>
          <w:color w:val="auto"/>
          <w:sz w:val="32"/>
          <w:szCs w:val="32"/>
          <w:highlight w:val="none"/>
          <w:u w:val="single"/>
        </w:rPr>
        <w:t xml:space="preserve">        （加盖投标人公章）</w:t>
      </w:r>
    </w:p>
    <w:p w14:paraId="04330C29">
      <w:pPr>
        <w:spacing w:line="720" w:lineRule="auto"/>
        <w:ind w:firstLine="566" w:firstLineChars="177"/>
        <w:rPr>
          <w:rFonts w:hint="eastAsia" w:ascii="宋体" w:hAnsi="宋体" w:eastAsia="宋体" w:cs="宋体"/>
          <w:bCs/>
          <w:color w:val="auto"/>
          <w:sz w:val="32"/>
          <w:szCs w:val="32"/>
          <w:highlight w:val="none"/>
        </w:rPr>
      </w:pPr>
      <w:bookmarkStart w:id="247" w:name="_Toc27677_WPSOffice_Level2"/>
      <w:bookmarkStart w:id="248" w:name="_Toc11598_WPSOffice_Level2"/>
      <w:bookmarkStart w:id="249" w:name="_Toc5824_WPSOffice_Level2"/>
      <w:bookmarkStart w:id="250" w:name="_Toc25871_WPSOffice_Level2"/>
      <w:bookmarkStart w:id="251" w:name="_Toc25558_WPSOffice_Level2"/>
      <w:bookmarkStart w:id="252" w:name="_Toc20277_WPSOffice_Level2"/>
      <w:bookmarkStart w:id="253" w:name="_Toc6516_WPSOffice_Level2"/>
      <w:bookmarkStart w:id="254" w:name="_Toc14394_WPSOffice_Level2"/>
      <w:bookmarkStart w:id="255" w:name="_Toc18383_WPSOffice_Level2"/>
      <w:r>
        <w:rPr>
          <w:rFonts w:hint="eastAsia" w:ascii="宋体" w:hAnsi="宋体" w:eastAsia="宋体" w:cs="宋体"/>
          <w:bCs/>
          <w:color w:val="auto"/>
          <w:sz w:val="32"/>
          <w:szCs w:val="32"/>
          <w:highlight w:val="none"/>
        </w:rPr>
        <w:t>投标日期：</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年</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月</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日</w:t>
      </w:r>
      <w:bookmarkEnd w:id="247"/>
      <w:bookmarkEnd w:id="248"/>
      <w:bookmarkEnd w:id="249"/>
      <w:bookmarkEnd w:id="250"/>
      <w:bookmarkEnd w:id="251"/>
      <w:bookmarkEnd w:id="252"/>
      <w:bookmarkEnd w:id="253"/>
      <w:bookmarkEnd w:id="254"/>
      <w:bookmarkEnd w:id="255"/>
    </w:p>
    <w:p w14:paraId="70E803EC">
      <w:pPr>
        <w:tabs>
          <w:tab w:val="left" w:pos="7665"/>
        </w:tabs>
        <w:spacing w:line="400" w:lineRule="exact"/>
        <w:ind w:firstLine="480"/>
        <w:jc w:val="center"/>
        <w:rPr>
          <w:rFonts w:hint="eastAsia" w:ascii="宋体" w:hAnsi="宋体" w:eastAsia="宋体" w:cs="宋体"/>
          <w:b/>
          <w:bCs/>
          <w:color w:val="auto"/>
          <w:sz w:val="32"/>
          <w:szCs w:val="32"/>
          <w:highlight w:val="none"/>
        </w:rPr>
      </w:pPr>
    </w:p>
    <w:p w14:paraId="59824161">
      <w:pPr>
        <w:rPr>
          <w:rFonts w:hint="eastAsia" w:ascii="宋体" w:hAnsi="宋体" w:eastAsia="宋体" w:cs="宋体"/>
          <w:color w:val="auto"/>
          <w:highlight w:val="none"/>
        </w:rPr>
      </w:pPr>
    </w:p>
    <w:p w14:paraId="0D2A9FA8">
      <w:pPr>
        <w:spacing w:line="500" w:lineRule="exac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附件1：投标函</w:t>
      </w:r>
    </w:p>
    <w:p w14:paraId="2BE48AC0">
      <w:pPr>
        <w:spacing w:line="500" w:lineRule="exact"/>
        <w:jc w:val="center"/>
        <w:rPr>
          <w:rFonts w:hint="eastAsia" w:ascii="宋体" w:hAnsi="宋体" w:eastAsia="宋体" w:cs="宋体"/>
          <w:color w:val="auto"/>
          <w:sz w:val="24"/>
          <w:highlight w:val="none"/>
        </w:rPr>
      </w:pPr>
      <w:r>
        <w:rPr>
          <w:rFonts w:hint="eastAsia" w:ascii="宋体" w:hAnsi="宋体" w:eastAsia="宋体" w:cs="宋体"/>
          <w:b/>
          <w:color w:val="auto"/>
          <w:sz w:val="32"/>
          <w:szCs w:val="32"/>
          <w:highlight w:val="none"/>
        </w:rPr>
        <w:t>一、投标函</w:t>
      </w:r>
    </w:p>
    <w:p w14:paraId="378B6D07">
      <w:pPr>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2A6A8400">
      <w:pPr>
        <w:spacing w:after="120"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我方全面研究了 “</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”项目招标文件（招标编号：</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），决定参加贵单位组织的本项目投标，</w:t>
      </w:r>
      <w:r>
        <w:rPr>
          <w:rFonts w:hint="eastAsia" w:ascii="宋体" w:hAnsi="宋体" w:eastAsia="宋体" w:cs="宋体"/>
          <w:color w:val="auto"/>
          <w:sz w:val="24"/>
          <w:highlight w:val="none"/>
        </w:rPr>
        <w:t>遵守招标规则，维护正常的招标秩序。</w:t>
      </w:r>
      <w:r>
        <w:rPr>
          <w:rFonts w:hint="eastAsia" w:ascii="宋体" w:hAnsi="宋体" w:eastAsia="宋体" w:cs="宋体"/>
          <w:bCs/>
          <w:color w:val="auto"/>
          <w:sz w:val="24"/>
          <w:highlight w:val="none"/>
        </w:rPr>
        <w:t>我方授权</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（姓名、职务）代表我方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（投标单位的名称）全权处理本项目投标的有关事宜。</w:t>
      </w:r>
    </w:p>
    <w:p w14:paraId="0D73A37F">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auto"/>
          <w:kern w:val="0"/>
          <w:sz w:val="24"/>
          <w:highlight w:val="none"/>
          <w:u w:val="single"/>
        </w:rPr>
        <w:t xml:space="preserve">         元（大写             ）</w:t>
      </w:r>
      <w:r>
        <w:rPr>
          <w:rFonts w:hint="eastAsia" w:ascii="宋体" w:hAnsi="宋体" w:eastAsia="宋体" w:cs="宋体"/>
          <w:bCs/>
          <w:color w:val="auto"/>
          <w:sz w:val="24"/>
          <w:highlight w:val="none"/>
        </w:rPr>
        <w:t>。</w:t>
      </w:r>
    </w:p>
    <w:p w14:paraId="204CB2F0">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2.一旦我方中标，我方将严格履行合同规定的责任和义务，保证于合同签字生效后</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日内完成履约，并交付招标人验收、使用。</w:t>
      </w:r>
    </w:p>
    <w:p w14:paraId="7E5CCB39">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3.我方同意按照招标文件的要求，向贵单位缴纳人民币</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元（大写：</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）的投标保证金。并承诺：下列任何情况发生时，我方将不要求退还投标保证金，同时，接受失信行为记录、曝光通报、罚款、一定时期禁入等相关处理：</w:t>
      </w:r>
    </w:p>
    <w:p w14:paraId="3C891D78">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（1）如果我方在投标有效期内撤回投标；</w:t>
      </w:r>
    </w:p>
    <w:p w14:paraId="45726331">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（2）我方提供了虚假响应招标文件的投标文件；</w:t>
      </w:r>
    </w:p>
    <w:p w14:paraId="3BE18DAF">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（3）在投标过程中有违法违规违纪行为（如采取不正当手段诋毁、排挤其他投标人；恶意串通；恶意质疑、投诉；向相关人员行贿或提供其他不正当利益）；</w:t>
      </w:r>
    </w:p>
    <w:p w14:paraId="437A7692">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（4）我方无正当理由不按照招标文件要求提交履约保证金；在投标有效期内收到中标通知书后，由于我方原因未能按照招标文件要求与招标人签订并履行合同。</w:t>
      </w:r>
    </w:p>
    <w:p w14:paraId="75ABD42A">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4.我方愿意提供贵单位可能另外要求的，与投标有关的文件资料，并保证我方已提供和将要提供的文件资料是真实、准确完整的。</w:t>
      </w:r>
    </w:p>
    <w:p w14:paraId="4A02271A">
      <w:pPr>
        <w:adjustRightInd w:val="0"/>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43DA0C5E">
      <w:pPr>
        <w:adjustRightInd w:val="0"/>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6.我方完全理解招标人不一定将合同授予最低报价的投标人的行为。</w:t>
      </w:r>
    </w:p>
    <w:p w14:paraId="6E43D893">
      <w:pPr>
        <w:widowControl/>
        <w:spacing w:line="480" w:lineRule="auto"/>
        <w:ind w:firstLine="470" w:firstLineChars="196"/>
        <w:jc w:val="left"/>
        <w:rPr>
          <w:rFonts w:hint="eastAsia" w:ascii="宋体" w:hAnsi="宋体" w:eastAsia="宋体" w:cs="宋体"/>
          <w:color w:val="auto"/>
          <w:sz w:val="24"/>
          <w:szCs w:val="24"/>
          <w:highlight w:val="none"/>
        </w:rPr>
      </w:pPr>
    </w:p>
    <w:p w14:paraId="00076B5A">
      <w:pPr>
        <w:widowControl/>
        <w:spacing w:line="360" w:lineRule="auto"/>
        <w:ind w:firstLine="240" w:firstLineChars="100"/>
        <w:jc w:val="left"/>
        <w:rPr>
          <w:rFonts w:hint="eastAsia" w:ascii="宋体" w:hAnsi="宋体" w:eastAsia="宋体" w:cs="宋体"/>
          <w:color w:val="auto"/>
          <w:sz w:val="24"/>
          <w:szCs w:val="24"/>
          <w:highlight w:val="none"/>
        </w:rPr>
      </w:pPr>
    </w:p>
    <w:p w14:paraId="5EB57348">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253B864F">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E16330B">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通讯地址：</w:t>
      </w:r>
    </w:p>
    <w:p w14:paraId="1BB836D8">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p w14:paraId="71F6E685">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492FE8AD">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p>
    <w:p w14:paraId="5528C389">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w:t>
      </w:r>
    </w:p>
    <w:p w14:paraId="3DEF6524">
      <w:pPr>
        <w:pStyle w:val="17"/>
        <w:rPr>
          <w:rFonts w:hint="eastAsia" w:ascii="宋体" w:hAnsi="宋体" w:eastAsia="宋体" w:cs="宋体"/>
          <w:color w:val="auto"/>
          <w:sz w:val="24"/>
          <w:szCs w:val="24"/>
          <w:highlight w:val="none"/>
        </w:rPr>
      </w:pPr>
    </w:p>
    <w:p w14:paraId="7F084D8D">
      <w:pPr>
        <w:pStyle w:val="336"/>
        <w:rPr>
          <w:rFonts w:hint="eastAsia" w:ascii="宋体" w:hAnsi="宋体" w:eastAsia="宋体" w:cs="宋体"/>
          <w:color w:val="auto"/>
          <w:sz w:val="24"/>
          <w:szCs w:val="24"/>
          <w:highlight w:val="none"/>
        </w:rPr>
      </w:pPr>
    </w:p>
    <w:p w14:paraId="247897F5">
      <w:pPr>
        <w:rPr>
          <w:rFonts w:hint="eastAsia" w:ascii="宋体" w:hAnsi="宋体" w:eastAsia="宋体" w:cs="宋体"/>
          <w:color w:val="auto"/>
          <w:sz w:val="24"/>
          <w:szCs w:val="24"/>
          <w:highlight w:val="none"/>
        </w:rPr>
      </w:pPr>
    </w:p>
    <w:p w14:paraId="73D849AF">
      <w:pPr>
        <w:pStyle w:val="17"/>
        <w:rPr>
          <w:rFonts w:hint="eastAsia" w:ascii="宋体" w:hAnsi="宋体" w:eastAsia="宋体" w:cs="宋体"/>
          <w:color w:val="auto"/>
          <w:sz w:val="24"/>
          <w:szCs w:val="24"/>
          <w:highlight w:val="none"/>
        </w:rPr>
      </w:pPr>
    </w:p>
    <w:p w14:paraId="6EB6A457">
      <w:pPr>
        <w:pStyle w:val="336"/>
        <w:rPr>
          <w:rFonts w:hint="eastAsia" w:ascii="宋体" w:hAnsi="宋体" w:eastAsia="宋体" w:cs="宋体"/>
          <w:color w:val="auto"/>
          <w:sz w:val="24"/>
          <w:szCs w:val="24"/>
          <w:highlight w:val="none"/>
        </w:rPr>
      </w:pPr>
    </w:p>
    <w:p w14:paraId="0B1D65B0">
      <w:pPr>
        <w:rPr>
          <w:rFonts w:hint="eastAsia" w:ascii="宋体" w:hAnsi="宋体" w:eastAsia="宋体" w:cs="宋体"/>
          <w:color w:val="auto"/>
          <w:sz w:val="24"/>
          <w:szCs w:val="24"/>
          <w:highlight w:val="none"/>
        </w:rPr>
      </w:pPr>
    </w:p>
    <w:p w14:paraId="3E98079D">
      <w:pPr>
        <w:pStyle w:val="17"/>
        <w:rPr>
          <w:rFonts w:hint="eastAsia" w:ascii="宋体" w:hAnsi="宋体" w:eastAsia="宋体" w:cs="宋体"/>
          <w:color w:val="auto"/>
          <w:sz w:val="24"/>
          <w:szCs w:val="24"/>
          <w:highlight w:val="none"/>
        </w:rPr>
      </w:pPr>
    </w:p>
    <w:p w14:paraId="4CF0FFAC">
      <w:pPr>
        <w:pStyle w:val="336"/>
        <w:rPr>
          <w:rFonts w:hint="eastAsia" w:ascii="宋体" w:hAnsi="宋体" w:eastAsia="宋体" w:cs="宋体"/>
          <w:color w:val="auto"/>
          <w:sz w:val="24"/>
          <w:szCs w:val="24"/>
          <w:highlight w:val="none"/>
        </w:rPr>
      </w:pPr>
    </w:p>
    <w:p w14:paraId="797BD9B0">
      <w:pPr>
        <w:rPr>
          <w:rFonts w:hint="eastAsia" w:ascii="宋体" w:hAnsi="宋体" w:eastAsia="宋体" w:cs="宋体"/>
          <w:color w:val="auto"/>
          <w:sz w:val="24"/>
          <w:szCs w:val="24"/>
          <w:highlight w:val="none"/>
        </w:rPr>
      </w:pPr>
    </w:p>
    <w:p w14:paraId="25C3E551">
      <w:pPr>
        <w:pStyle w:val="17"/>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附件2：具有独立承担民事责任的能力</w:t>
      </w:r>
    </w:p>
    <w:p w14:paraId="720A9EF1">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1.投标人为企业（包括合伙企业）,应提供工商营业执照或提供由市场监管部门核发的法人或者其他组织统一社会信用代码的营业执照（复印件加盖投标人公章）；</w:t>
      </w:r>
    </w:p>
    <w:p w14:paraId="0EFE35F1">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2.投标人属于银行、保险、石油石化、电力、电信等有行业特殊情况的，提供企业分支机构营业执照或统一社会信用代码的营业执照（复印件加盖投标人公章）；</w:t>
      </w:r>
    </w:p>
    <w:p w14:paraId="2BD3618E">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3.投标人为其他组织的，提供事业单位法人证书或执业许可证等证明文件（复印件加盖投标人公章）。</w:t>
      </w:r>
    </w:p>
    <w:p w14:paraId="30F243D5">
      <w:pPr>
        <w:pStyle w:val="17"/>
        <w:rPr>
          <w:rFonts w:hint="eastAsia" w:ascii="宋体" w:hAnsi="宋体" w:eastAsia="宋体" w:cs="宋体"/>
          <w:color w:val="auto"/>
          <w:sz w:val="24"/>
          <w:highlight w:val="none"/>
        </w:rPr>
      </w:pPr>
    </w:p>
    <w:p w14:paraId="30D700FB">
      <w:pPr>
        <w:rPr>
          <w:rFonts w:hint="eastAsia" w:ascii="宋体" w:hAnsi="宋体" w:eastAsia="宋体" w:cs="宋体"/>
          <w:color w:val="auto"/>
          <w:sz w:val="24"/>
          <w:highlight w:val="none"/>
        </w:rPr>
      </w:pPr>
    </w:p>
    <w:p w14:paraId="2DCD9EC4">
      <w:pP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注：若为联合体参与投标，联合体各方均需提供。</w:t>
      </w:r>
    </w:p>
    <w:p w14:paraId="62C5C998">
      <w:pPr>
        <w:rPr>
          <w:rFonts w:hint="eastAsia" w:ascii="宋体" w:hAnsi="宋体" w:eastAsia="宋体" w:cs="宋体"/>
          <w:color w:val="auto"/>
          <w:sz w:val="24"/>
          <w:highlight w:val="none"/>
        </w:rPr>
      </w:pPr>
    </w:p>
    <w:p w14:paraId="7F6F9025">
      <w:pPr>
        <w:pStyle w:val="17"/>
        <w:rPr>
          <w:rFonts w:hint="eastAsia" w:ascii="宋体" w:hAnsi="宋体" w:eastAsia="宋体" w:cs="宋体"/>
          <w:color w:val="auto"/>
          <w:sz w:val="24"/>
          <w:highlight w:val="none"/>
        </w:rPr>
      </w:pPr>
    </w:p>
    <w:p w14:paraId="7A47CF62">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附件3：具有良好的商业信誉</w:t>
      </w:r>
    </w:p>
    <w:p w14:paraId="4BD72EB8">
      <w:pPr>
        <w:keepNext/>
        <w:keepLines/>
        <w:spacing w:before="260" w:after="260" w:line="240" w:lineRule="atLeast"/>
        <w:jc w:val="center"/>
        <w:rPr>
          <w:rFonts w:hint="eastAsia" w:ascii="宋体" w:hAnsi="宋体" w:eastAsia="宋体" w:cs="宋体"/>
          <w:b/>
          <w:color w:val="auto"/>
          <w:sz w:val="28"/>
          <w:szCs w:val="28"/>
          <w:highlight w:val="none"/>
        </w:rPr>
      </w:pPr>
      <w:bookmarkStart w:id="256" w:name="_Toc11923094"/>
      <w:bookmarkStart w:id="257" w:name="_Toc11923165"/>
      <w:bookmarkStart w:id="258" w:name="_Toc11764035"/>
      <w:r>
        <w:rPr>
          <w:rFonts w:hint="eastAsia" w:ascii="宋体" w:hAnsi="宋体" w:eastAsia="宋体" w:cs="宋体"/>
          <w:b/>
          <w:color w:val="auto"/>
          <w:sz w:val="28"/>
          <w:szCs w:val="28"/>
          <w:highlight w:val="none"/>
        </w:rPr>
        <w:t>商业信誉承诺书</w:t>
      </w:r>
      <w:bookmarkEnd w:id="256"/>
      <w:bookmarkEnd w:id="257"/>
      <w:bookmarkEnd w:id="258"/>
    </w:p>
    <w:p w14:paraId="0FEB1724">
      <w:pPr>
        <w:spacing w:line="360" w:lineRule="auto"/>
        <w:rPr>
          <w:rFonts w:hint="eastAsia" w:ascii="宋体" w:hAnsi="宋体" w:eastAsia="宋体" w:cs="宋体"/>
          <w:color w:val="auto"/>
          <w:sz w:val="28"/>
          <w:szCs w:val="28"/>
          <w:highlight w:val="none"/>
        </w:rPr>
      </w:pPr>
    </w:p>
    <w:p w14:paraId="77974EA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7BB7188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12670B5E">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（投标人名称）在参加本次投标活动前具有良好的商业信誉。</w:t>
      </w:r>
    </w:p>
    <w:p w14:paraId="574C1CB1">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60CC5350">
      <w:pPr>
        <w:spacing w:line="360" w:lineRule="auto"/>
        <w:ind w:firstLine="540"/>
        <w:rPr>
          <w:rFonts w:hint="eastAsia" w:ascii="宋体" w:hAnsi="宋体" w:eastAsia="宋体" w:cs="宋体"/>
          <w:color w:val="auto"/>
          <w:sz w:val="24"/>
          <w:szCs w:val="24"/>
          <w:highlight w:val="none"/>
        </w:rPr>
      </w:pPr>
    </w:p>
    <w:p w14:paraId="3F580617">
      <w:pPr>
        <w:spacing w:line="360" w:lineRule="auto"/>
        <w:ind w:firstLine="540"/>
        <w:rPr>
          <w:rFonts w:hint="eastAsia" w:ascii="宋体" w:hAnsi="宋体" w:eastAsia="宋体" w:cs="宋体"/>
          <w:color w:val="auto"/>
          <w:sz w:val="24"/>
          <w:szCs w:val="24"/>
          <w:highlight w:val="none"/>
        </w:rPr>
      </w:pPr>
    </w:p>
    <w:p w14:paraId="0F225280">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33C840B">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9F5F4DC">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8177606">
      <w:pPr>
        <w:rPr>
          <w:rFonts w:hint="eastAsia" w:ascii="宋体" w:hAnsi="宋体" w:eastAsia="宋体" w:cs="宋体"/>
          <w:color w:val="auto"/>
          <w:highlight w:val="none"/>
        </w:rPr>
      </w:pPr>
    </w:p>
    <w:p w14:paraId="185C8074">
      <w:pPr>
        <w:pStyle w:val="17"/>
        <w:rPr>
          <w:rFonts w:hint="eastAsia" w:ascii="宋体" w:hAnsi="宋体" w:eastAsia="宋体" w:cs="宋体"/>
          <w:color w:val="auto"/>
          <w:highlight w:val="none"/>
        </w:rPr>
      </w:pPr>
    </w:p>
    <w:p w14:paraId="14ACAC3A">
      <w:pPr>
        <w:rPr>
          <w:rFonts w:hint="eastAsia" w:ascii="宋体" w:hAnsi="宋体" w:eastAsia="宋体" w:cs="宋体"/>
          <w:color w:val="auto"/>
          <w:highlight w:val="none"/>
        </w:rPr>
      </w:pPr>
    </w:p>
    <w:p w14:paraId="39753D33">
      <w:pPr>
        <w:spacing w:line="360" w:lineRule="auto"/>
        <w:ind w:firstLine="54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0DC6BBC2">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若为联合体参与投标，联合体各方均需提供。</w:t>
      </w:r>
    </w:p>
    <w:p w14:paraId="3F3FA483">
      <w:pPr>
        <w:ind w:firstLine="482" w:firstLineChars="200"/>
        <w:rPr>
          <w:rFonts w:hint="eastAsia" w:ascii="宋体" w:hAnsi="宋体" w:eastAsia="宋体" w:cs="宋体"/>
          <w:b/>
          <w:bCs/>
          <w:color w:val="auto"/>
          <w:sz w:val="24"/>
          <w:highlight w:val="none"/>
        </w:rPr>
      </w:pPr>
    </w:p>
    <w:p w14:paraId="5A857C0C">
      <w:pPr>
        <w:rPr>
          <w:rFonts w:hint="eastAsia" w:ascii="宋体" w:hAnsi="宋体" w:eastAsia="宋体" w:cs="宋体"/>
          <w:color w:val="auto"/>
          <w:highlight w:val="none"/>
        </w:rPr>
      </w:pPr>
    </w:p>
    <w:p w14:paraId="0AABF546">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附件4：具有健全的财务会计制度</w:t>
      </w:r>
    </w:p>
    <w:p w14:paraId="398A280C">
      <w:pPr>
        <w:rPr>
          <w:rFonts w:hint="eastAsia" w:ascii="宋体" w:hAnsi="宋体" w:eastAsia="宋体" w:cs="宋体"/>
          <w:color w:val="auto"/>
          <w:sz w:val="24"/>
          <w:highlight w:val="none"/>
        </w:rPr>
      </w:pPr>
    </w:p>
    <w:p w14:paraId="187E5624">
      <w:pPr>
        <w:keepNext/>
        <w:keepLines/>
        <w:spacing w:before="260" w:after="260" w:line="240" w:lineRule="atLeas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具有健全的财务会计制度的承诺书</w:t>
      </w:r>
    </w:p>
    <w:p w14:paraId="5081CC6B">
      <w:pPr>
        <w:spacing w:line="360" w:lineRule="auto"/>
        <w:rPr>
          <w:rFonts w:hint="eastAsia" w:ascii="宋体" w:hAnsi="宋体" w:eastAsia="宋体" w:cs="宋体"/>
          <w:color w:val="auto"/>
          <w:sz w:val="24"/>
          <w:szCs w:val="24"/>
          <w:highlight w:val="none"/>
        </w:rPr>
      </w:pPr>
    </w:p>
    <w:p w14:paraId="571F581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5A00ED7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36284C26">
      <w:pPr>
        <w:spacing w:line="360" w:lineRule="auto"/>
        <w:ind w:firstLine="54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（投标人名称）具有健全的财务会计制度。</w:t>
      </w:r>
    </w:p>
    <w:p w14:paraId="01BAF98C">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5BE35D9F">
      <w:pPr>
        <w:spacing w:line="360" w:lineRule="auto"/>
        <w:ind w:firstLine="540"/>
        <w:rPr>
          <w:rFonts w:hint="eastAsia" w:ascii="宋体" w:hAnsi="宋体" w:eastAsia="宋体" w:cs="宋体"/>
          <w:color w:val="auto"/>
          <w:sz w:val="24"/>
          <w:szCs w:val="24"/>
          <w:highlight w:val="none"/>
        </w:rPr>
      </w:pPr>
    </w:p>
    <w:p w14:paraId="05A8BF19">
      <w:pPr>
        <w:spacing w:line="360" w:lineRule="auto"/>
        <w:ind w:firstLine="540"/>
        <w:rPr>
          <w:rFonts w:hint="eastAsia" w:ascii="宋体" w:hAnsi="宋体" w:eastAsia="宋体" w:cs="宋体"/>
          <w:color w:val="auto"/>
          <w:sz w:val="24"/>
          <w:szCs w:val="24"/>
          <w:highlight w:val="none"/>
        </w:rPr>
      </w:pPr>
    </w:p>
    <w:p w14:paraId="123F50A1">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328E80C9">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618122C8">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113255CB">
      <w:pPr>
        <w:pStyle w:val="17"/>
        <w:spacing w:line="360" w:lineRule="auto"/>
        <w:rPr>
          <w:rFonts w:hint="eastAsia" w:ascii="宋体" w:hAnsi="宋体" w:eastAsia="宋体" w:cs="宋体"/>
          <w:bCs/>
          <w:color w:val="auto"/>
          <w:kern w:val="0"/>
          <w:sz w:val="24"/>
          <w:szCs w:val="24"/>
          <w:highlight w:val="none"/>
        </w:rPr>
      </w:pPr>
    </w:p>
    <w:p w14:paraId="4AD81892">
      <w:pPr>
        <w:spacing w:line="360" w:lineRule="auto"/>
        <w:ind w:firstLine="442" w:firstLineChars="200"/>
        <w:rPr>
          <w:rStyle w:val="334"/>
          <w:rFonts w:hint="eastAsia"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1.提供近三年（2022、2023、2024年度）中任意一年，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5533DDD3">
      <w:pPr>
        <w:spacing w:line="360" w:lineRule="auto"/>
        <w:ind w:firstLine="442" w:firstLineChars="200"/>
        <w:rPr>
          <w:rStyle w:val="334"/>
          <w:rFonts w:hint="eastAsia"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2.如因单位性质（军内单位、事业单位等）无法提供审计报告的，可以提供经单位盖章的财务报表复印件加盖投标人公章（近三年（2022、2023、2024年度）中任意一年）或具有健全的财务会计制度的承诺函。</w:t>
      </w:r>
    </w:p>
    <w:p w14:paraId="28B88B17">
      <w:pPr>
        <w:autoSpaceDE/>
        <w:autoSpaceDN/>
        <w:adjustRightInd/>
        <w:snapToGrid/>
        <w:spacing w:line="360" w:lineRule="auto"/>
        <w:ind w:firstLine="442" w:firstLineChars="200"/>
        <w:jc w:val="left"/>
        <w:rPr>
          <w:rStyle w:val="334"/>
          <w:rFonts w:hint="eastAsia" w:ascii="宋体" w:hAnsi="宋体" w:eastAsia="宋体" w:cs="宋体"/>
          <w:b/>
          <w:bCs/>
          <w:color w:val="auto"/>
          <w:kern w:val="0"/>
          <w:sz w:val="22"/>
          <w:szCs w:val="20"/>
          <w:highlight w:val="none"/>
        </w:rPr>
      </w:pPr>
      <w:r>
        <w:rPr>
          <w:rStyle w:val="334"/>
          <w:rFonts w:hint="eastAsia" w:ascii="宋体" w:hAnsi="宋体" w:eastAsia="宋体" w:cs="宋体"/>
          <w:b/>
          <w:bCs/>
          <w:color w:val="auto"/>
          <w:kern w:val="0"/>
          <w:sz w:val="22"/>
          <w:szCs w:val="20"/>
          <w:highlight w:val="none"/>
        </w:rPr>
        <w:t>3.若投标人成立年限不足1年的，提供具有健全的财务会计制度的承诺函。格式自拟。</w:t>
      </w:r>
    </w:p>
    <w:p w14:paraId="39964210">
      <w:pPr>
        <w:spacing w:line="360" w:lineRule="auto"/>
        <w:ind w:firstLine="442" w:firstLineChars="200"/>
        <w:rPr>
          <w:rStyle w:val="334"/>
          <w:rFonts w:hint="eastAsia"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注：科研院所、高等院校等事业单位、军内单位因特殊原因无法提供以上材料的，应在其投标文件中就其单位性质以及无法出具的原因作出书面说明。</w:t>
      </w:r>
    </w:p>
    <w:p w14:paraId="79FB3A5C">
      <w:pPr>
        <w:ind w:firstLine="482" w:firstLineChars="200"/>
        <w:rPr>
          <w:rFonts w:hint="eastAsia" w:ascii="宋体" w:hAnsi="宋体" w:eastAsia="宋体" w:cs="宋体"/>
          <w:b/>
          <w:bCs/>
          <w:color w:val="auto"/>
          <w:sz w:val="24"/>
          <w:highlight w:val="none"/>
        </w:rPr>
      </w:pPr>
    </w:p>
    <w:p w14:paraId="61484D85">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若为联合体参与投标，联合体各方均需提供。</w:t>
      </w:r>
    </w:p>
    <w:p w14:paraId="7E03B4C1">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附件5：具有履行合同所必须的设备和专业技术能力</w:t>
      </w:r>
    </w:p>
    <w:p w14:paraId="1709F43E">
      <w:pPr>
        <w:keepNext/>
        <w:keepLines/>
        <w:spacing w:before="260" w:after="260" w:line="240" w:lineRule="atLeast"/>
        <w:jc w:val="center"/>
        <w:rPr>
          <w:rFonts w:hint="eastAsia" w:ascii="宋体" w:hAnsi="宋体" w:eastAsia="宋体" w:cs="宋体"/>
          <w:b/>
          <w:color w:val="auto"/>
          <w:sz w:val="28"/>
          <w:szCs w:val="28"/>
          <w:highlight w:val="none"/>
        </w:rPr>
      </w:pPr>
      <w:bookmarkStart w:id="259" w:name="_Toc11923095"/>
      <w:bookmarkStart w:id="260" w:name="_Toc11923166"/>
      <w:bookmarkStart w:id="261" w:name="_Toc11764036"/>
      <w:r>
        <w:rPr>
          <w:rFonts w:hint="eastAsia" w:ascii="宋体" w:hAnsi="宋体" w:eastAsia="宋体" w:cs="宋体"/>
          <w:b/>
          <w:color w:val="auto"/>
          <w:sz w:val="28"/>
          <w:szCs w:val="28"/>
          <w:highlight w:val="none"/>
        </w:rPr>
        <w:t>具有履行合同所必须的设备和专业技术</w:t>
      </w:r>
      <w:bookmarkEnd w:id="259"/>
      <w:bookmarkEnd w:id="260"/>
      <w:bookmarkEnd w:id="261"/>
    </w:p>
    <w:p w14:paraId="30BDF3AF">
      <w:pPr>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能力的承诺书</w:t>
      </w:r>
    </w:p>
    <w:p w14:paraId="35371853">
      <w:pPr>
        <w:spacing w:line="360" w:lineRule="auto"/>
        <w:rPr>
          <w:rFonts w:hint="eastAsia" w:ascii="宋体" w:hAnsi="宋体" w:eastAsia="宋体" w:cs="宋体"/>
          <w:color w:val="auto"/>
          <w:sz w:val="24"/>
          <w:szCs w:val="24"/>
          <w:highlight w:val="none"/>
        </w:rPr>
      </w:pPr>
    </w:p>
    <w:p w14:paraId="65546FA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31F5305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75B6B492">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（投标人名称）参加本次投标活动，具有履行合同所必须的设备和专业技术能力。</w:t>
      </w:r>
    </w:p>
    <w:p w14:paraId="1305AF2F">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4A5FDB0C">
      <w:pPr>
        <w:spacing w:line="360" w:lineRule="auto"/>
        <w:ind w:firstLine="540"/>
        <w:rPr>
          <w:rFonts w:hint="eastAsia" w:ascii="宋体" w:hAnsi="宋体" w:eastAsia="宋体" w:cs="宋体"/>
          <w:color w:val="auto"/>
          <w:sz w:val="24"/>
          <w:szCs w:val="24"/>
          <w:highlight w:val="none"/>
        </w:rPr>
      </w:pPr>
    </w:p>
    <w:p w14:paraId="67DCBE85">
      <w:pPr>
        <w:spacing w:line="360" w:lineRule="auto"/>
        <w:ind w:firstLine="540"/>
        <w:rPr>
          <w:rFonts w:hint="eastAsia" w:ascii="宋体" w:hAnsi="宋体" w:eastAsia="宋体" w:cs="宋体"/>
          <w:color w:val="auto"/>
          <w:sz w:val="24"/>
          <w:szCs w:val="24"/>
          <w:highlight w:val="none"/>
        </w:rPr>
      </w:pPr>
    </w:p>
    <w:p w14:paraId="5CFB4C5C">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7DF02A04">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w:t>
      </w:r>
    </w:p>
    <w:p w14:paraId="1A5E831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14B14636">
      <w:pPr>
        <w:pStyle w:val="17"/>
        <w:rPr>
          <w:rFonts w:hint="eastAsia" w:ascii="宋体" w:hAnsi="宋体" w:eastAsia="宋体" w:cs="宋体"/>
          <w:color w:val="auto"/>
          <w:highlight w:val="none"/>
        </w:rPr>
      </w:pPr>
    </w:p>
    <w:p w14:paraId="0D88CB1A">
      <w:pP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注：若为联合体参与投标，联合体各方均需提供。</w:t>
      </w:r>
    </w:p>
    <w:p w14:paraId="72D8366C">
      <w:pPr>
        <w:rPr>
          <w:rFonts w:hint="eastAsia" w:ascii="宋体" w:hAnsi="宋体" w:eastAsia="宋体" w:cs="宋体"/>
          <w:b/>
          <w:bCs/>
          <w:color w:val="auto"/>
          <w:sz w:val="24"/>
          <w:highlight w:val="none"/>
        </w:rPr>
      </w:pPr>
    </w:p>
    <w:p w14:paraId="1676A6EB">
      <w:pPr>
        <w:rPr>
          <w:rFonts w:hint="eastAsia" w:ascii="宋体" w:hAnsi="宋体" w:eastAsia="宋体" w:cs="宋体"/>
          <w:color w:val="auto"/>
          <w:highlight w:val="none"/>
        </w:rPr>
      </w:pPr>
    </w:p>
    <w:p w14:paraId="28C22D70">
      <w:pPr>
        <w:pStyle w:val="17"/>
        <w:rPr>
          <w:rFonts w:hint="eastAsia" w:ascii="宋体" w:hAnsi="宋体" w:eastAsia="宋体" w:cs="宋体"/>
          <w:color w:val="auto"/>
          <w:highlight w:val="none"/>
        </w:rPr>
      </w:pPr>
    </w:p>
    <w:p w14:paraId="39D1BF79">
      <w:pPr>
        <w:pStyle w:val="17"/>
        <w:rPr>
          <w:rFonts w:hint="eastAsia" w:ascii="宋体" w:hAnsi="宋体" w:eastAsia="宋体" w:cs="宋体"/>
          <w:bCs/>
          <w:color w:val="auto"/>
          <w:kern w:val="0"/>
          <w:sz w:val="24"/>
          <w:szCs w:val="24"/>
          <w:highlight w:val="none"/>
        </w:rPr>
      </w:pPr>
    </w:p>
    <w:p w14:paraId="446748FF">
      <w:pPr>
        <w:rPr>
          <w:rFonts w:hint="eastAsia" w:ascii="宋体" w:hAnsi="宋体" w:eastAsia="宋体" w:cs="宋体"/>
          <w:bCs/>
          <w:color w:val="auto"/>
          <w:kern w:val="0"/>
          <w:sz w:val="24"/>
          <w:szCs w:val="24"/>
          <w:highlight w:val="none"/>
        </w:rPr>
      </w:pPr>
    </w:p>
    <w:p w14:paraId="6A561104">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附件6：具有依法缴纳税收和社会保障资金的良好记录</w:t>
      </w:r>
    </w:p>
    <w:p w14:paraId="34747538">
      <w:pPr>
        <w:keepNext/>
        <w:keepLines/>
        <w:spacing w:before="260" w:after="260" w:line="240" w:lineRule="atLeast"/>
        <w:jc w:val="center"/>
        <w:rPr>
          <w:rFonts w:hint="eastAsia" w:ascii="宋体" w:hAnsi="宋体" w:eastAsia="宋体" w:cs="宋体"/>
          <w:b/>
          <w:color w:val="auto"/>
          <w:sz w:val="28"/>
          <w:szCs w:val="28"/>
          <w:highlight w:val="none"/>
        </w:rPr>
      </w:pPr>
      <w:bookmarkStart w:id="262" w:name="_Toc11923096"/>
      <w:bookmarkStart w:id="263" w:name="_Toc11923167"/>
      <w:bookmarkStart w:id="264" w:name="_Toc11764037"/>
      <w:r>
        <w:rPr>
          <w:rFonts w:hint="eastAsia" w:ascii="宋体" w:hAnsi="宋体" w:eastAsia="宋体" w:cs="宋体"/>
          <w:b/>
          <w:color w:val="auto"/>
          <w:sz w:val="28"/>
          <w:szCs w:val="28"/>
          <w:highlight w:val="none"/>
        </w:rPr>
        <w:t>具有依法缴纳税收和社会保障资金良好</w:t>
      </w:r>
      <w:bookmarkEnd w:id="262"/>
      <w:bookmarkEnd w:id="263"/>
      <w:bookmarkEnd w:id="264"/>
    </w:p>
    <w:p w14:paraId="690EC0BB">
      <w:pPr>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记录的承诺书</w:t>
      </w:r>
    </w:p>
    <w:p w14:paraId="624CB52A">
      <w:pPr>
        <w:spacing w:line="360" w:lineRule="auto"/>
        <w:rPr>
          <w:rFonts w:hint="eastAsia" w:ascii="宋体" w:hAnsi="宋体" w:eastAsia="宋体" w:cs="宋体"/>
          <w:color w:val="auto"/>
          <w:sz w:val="24"/>
          <w:szCs w:val="24"/>
          <w:highlight w:val="none"/>
        </w:rPr>
      </w:pPr>
    </w:p>
    <w:p w14:paraId="6808F62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453FE5E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6C5A71FE">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（投标人名称）具有依法缴纳税收和社会保障资金的良好记录。</w:t>
      </w:r>
    </w:p>
    <w:p w14:paraId="0673E129">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7999F44B">
      <w:pPr>
        <w:spacing w:line="360" w:lineRule="auto"/>
        <w:ind w:firstLine="540"/>
        <w:rPr>
          <w:rFonts w:hint="eastAsia" w:ascii="宋体" w:hAnsi="宋体" w:eastAsia="宋体" w:cs="宋体"/>
          <w:color w:val="auto"/>
          <w:sz w:val="24"/>
          <w:szCs w:val="24"/>
          <w:highlight w:val="none"/>
        </w:rPr>
      </w:pPr>
    </w:p>
    <w:p w14:paraId="53144188">
      <w:pPr>
        <w:adjustRightIn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22C73667">
      <w:pPr>
        <w:adjustRightIn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w:t>
      </w:r>
    </w:p>
    <w:p w14:paraId="3669F042">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3834956">
      <w:pPr>
        <w:rPr>
          <w:rFonts w:hint="eastAsia" w:ascii="宋体" w:hAnsi="宋体" w:eastAsia="宋体" w:cs="宋体"/>
          <w:color w:val="auto"/>
          <w:sz w:val="24"/>
          <w:szCs w:val="24"/>
          <w:highlight w:val="none"/>
        </w:rPr>
      </w:pPr>
    </w:p>
    <w:p w14:paraId="34E9D51D">
      <w:pPr>
        <w:pStyle w:val="39"/>
        <w:spacing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注：</w:t>
      </w:r>
    </w:p>
    <w:p w14:paraId="25AA8C93">
      <w:pPr>
        <w:pStyle w:val="39"/>
        <w:spacing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1.投标人提供近一年内不少于3个月的缴纳税收的银行电子回单（票据）或税务部门出具的纳税证明或者纳税申报资料（复印件加盖投标人公章）。</w:t>
      </w:r>
    </w:p>
    <w:p w14:paraId="063622E4">
      <w:pPr>
        <w:pStyle w:val="39"/>
        <w:spacing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2.投标人提供近一年内不少于3个月的缴纳社保的银行电子回单（票据）或社保部门出具的社保缴纳证明材料（复印件加盖投标人公章）。</w:t>
      </w:r>
    </w:p>
    <w:p w14:paraId="1A273460">
      <w:pPr>
        <w:pStyle w:val="17"/>
        <w:rPr>
          <w:rFonts w:hint="eastAsia" w:ascii="宋体" w:hAnsi="宋体" w:eastAsia="宋体" w:cs="宋体"/>
          <w:color w:val="auto"/>
          <w:highlight w:val="none"/>
        </w:rPr>
      </w:pPr>
    </w:p>
    <w:p w14:paraId="70AAB5D3">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若为联合体参与投标，联合体各方均需提供。</w:t>
      </w:r>
    </w:p>
    <w:p w14:paraId="370169C2">
      <w:pPr>
        <w:rPr>
          <w:rFonts w:hint="eastAsia" w:ascii="宋体" w:hAnsi="宋体" w:eastAsia="宋体" w:cs="宋体"/>
          <w:color w:val="auto"/>
          <w:highlight w:val="none"/>
        </w:rPr>
      </w:pPr>
    </w:p>
    <w:p w14:paraId="095066FD">
      <w:pP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附件7：参加本次投标活动前三年内，在经营活动中没有重大违法违规记录</w:t>
      </w:r>
    </w:p>
    <w:p w14:paraId="40679693">
      <w:pPr>
        <w:ind w:firstLine="562" w:firstLineChars="200"/>
        <w:jc w:val="center"/>
        <w:rPr>
          <w:rFonts w:hint="eastAsia" w:ascii="宋体" w:hAnsi="宋体" w:eastAsia="宋体" w:cs="宋体"/>
          <w:b/>
          <w:color w:val="auto"/>
          <w:sz w:val="28"/>
          <w:szCs w:val="28"/>
          <w:highlight w:val="none"/>
        </w:rPr>
      </w:pPr>
      <w:bookmarkStart w:id="265" w:name="_Toc11923168"/>
      <w:bookmarkStart w:id="266" w:name="_Toc11764038"/>
      <w:bookmarkStart w:id="267" w:name="_Toc11923097"/>
      <w:r>
        <w:rPr>
          <w:rFonts w:hint="eastAsia" w:ascii="宋体" w:hAnsi="宋体" w:eastAsia="宋体" w:cs="宋体"/>
          <w:b/>
          <w:bCs/>
          <w:color w:val="auto"/>
          <w:sz w:val="28"/>
          <w:szCs w:val="28"/>
          <w:highlight w:val="none"/>
        </w:rPr>
        <w:t>参加本次投标活动前三年内，在经营活动中没有重大违法违规记录</w:t>
      </w:r>
      <w:r>
        <w:rPr>
          <w:rFonts w:hint="eastAsia" w:ascii="宋体" w:hAnsi="宋体" w:eastAsia="宋体" w:cs="宋体"/>
          <w:b/>
          <w:color w:val="auto"/>
          <w:sz w:val="28"/>
          <w:szCs w:val="28"/>
          <w:highlight w:val="none"/>
        </w:rPr>
        <w:t>的书面声明</w:t>
      </w:r>
      <w:bookmarkEnd w:id="265"/>
      <w:bookmarkEnd w:id="266"/>
      <w:bookmarkEnd w:id="267"/>
    </w:p>
    <w:p w14:paraId="77B963B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2F6E928D">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3A72FB85">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（投标人名称）在参加本次投标活动前3年内在经营活动中没有重大违法记录（即因违法经营受到刑事处罚或者责令停产停业、吊销许可证或者执照、较大数额罚款等行政处罚的行为）。</w:t>
      </w:r>
    </w:p>
    <w:p w14:paraId="01D0986A">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本单位对上述声明内容事项真实性负责，如有虚假，由我单位承担相关法律责任。</w:t>
      </w:r>
    </w:p>
    <w:p w14:paraId="4F99E0F8">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6C1AD4AB">
      <w:pPr>
        <w:spacing w:line="360" w:lineRule="auto"/>
        <w:ind w:firstLine="540"/>
        <w:rPr>
          <w:rFonts w:hint="eastAsia" w:ascii="宋体" w:hAnsi="宋体" w:eastAsia="宋体" w:cs="宋体"/>
          <w:color w:val="auto"/>
          <w:sz w:val="24"/>
          <w:szCs w:val="24"/>
          <w:highlight w:val="none"/>
        </w:rPr>
      </w:pPr>
    </w:p>
    <w:p w14:paraId="1D85C3B6">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28BF538C">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4F4B10A5">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6F319042">
      <w:pPr>
        <w:spacing w:line="360" w:lineRule="auto"/>
        <w:rPr>
          <w:rFonts w:hint="eastAsia" w:ascii="宋体" w:hAnsi="宋体" w:eastAsia="宋体" w:cs="宋体"/>
          <w:color w:val="auto"/>
          <w:sz w:val="24"/>
          <w:szCs w:val="24"/>
          <w:highlight w:val="none"/>
        </w:rPr>
      </w:pPr>
    </w:p>
    <w:p w14:paraId="67455945">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szCs w:val="24"/>
          <w:highlight w:val="none"/>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0E377ED">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若为联合体参与投标，联合体各方均需提供。</w:t>
      </w:r>
    </w:p>
    <w:p w14:paraId="3606466C">
      <w:pPr>
        <w:rPr>
          <w:rFonts w:hint="eastAsia" w:ascii="宋体" w:hAnsi="宋体" w:eastAsia="宋体" w:cs="宋体"/>
          <w:b/>
          <w:bCs/>
          <w:color w:val="auto"/>
          <w:sz w:val="24"/>
          <w:highlight w:val="none"/>
        </w:rPr>
      </w:pPr>
    </w:p>
    <w:p w14:paraId="6ECD3245">
      <w:pPr>
        <w:ind w:firstLine="482" w:firstLineChars="200"/>
        <w:rPr>
          <w:rFonts w:hint="eastAsia" w:ascii="宋体" w:hAnsi="宋体" w:eastAsia="宋体" w:cs="宋体"/>
          <w:b/>
          <w:bCs/>
          <w:color w:val="auto"/>
          <w:sz w:val="24"/>
          <w:highlight w:val="none"/>
        </w:rPr>
      </w:pPr>
    </w:p>
    <w:p w14:paraId="3D6429F9">
      <w:pPr>
        <w:ind w:firstLine="420"/>
        <w:rPr>
          <w:rFonts w:hint="eastAsia" w:ascii="宋体" w:hAnsi="宋体" w:eastAsia="宋体" w:cs="宋体"/>
          <w:color w:val="auto"/>
          <w:highlight w:val="none"/>
        </w:rPr>
      </w:pPr>
    </w:p>
    <w:p w14:paraId="0F8A1669">
      <w:pP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附件8：法定代表人为中华人民共和国国籍，未拥有境外永久居留权（含港澳台）的书面声明</w:t>
      </w:r>
    </w:p>
    <w:p w14:paraId="6A094558">
      <w:pPr>
        <w:ind w:firstLine="562" w:firstLine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法定代表人为中华人民共和国国籍，未拥有境外永久居留权（含港澳台）的书面声明</w:t>
      </w:r>
    </w:p>
    <w:p w14:paraId="49D5DB2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3AEF3CFB">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1CDE5787">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（投标人名称）的法定代表人为中华人民共和国国籍，未拥有境外永久居留权（含港澳台）。</w:t>
      </w:r>
    </w:p>
    <w:p w14:paraId="4B29127C">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本单位对上述声明内容事项真实性负责，如有虚假，由我单位承担相关法律责任。</w:t>
      </w:r>
    </w:p>
    <w:p w14:paraId="049989A3">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7E8E510F">
      <w:pPr>
        <w:spacing w:line="360" w:lineRule="auto"/>
        <w:ind w:firstLine="540"/>
        <w:rPr>
          <w:rFonts w:hint="eastAsia" w:ascii="宋体" w:hAnsi="宋体" w:eastAsia="宋体" w:cs="宋体"/>
          <w:color w:val="auto"/>
          <w:sz w:val="24"/>
          <w:szCs w:val="24"/>
          <w:highlight w:val="none"/>
        </w:rPr>
      </w:pPr>
    </w:p>
    <w:p w14:paraId="017D134D">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1AD7C35B">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089B6E50">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33B4564B">
      <w:pPr>
        <w:spacing w:line="480" w:lineRule="exact"/>
        <w:ind w:firstLine="562" w:firstLineChars="200"/>
        <w:rPr>
          <w:rFonts w:hint="eastAsia" w:ascii="宋体" w:hAnsi="宋体" w:eastAsia="宋体" w:cs="宋体"/>
          <w:b/>
          <w:bCs/>
          <w:color w:val="auto"/>
          <w:sz w:val="28"/>
          <w:szCs w:val="28"/>
          <w:highlight w:val="none"/>
        </w:rPr>
      </w:pPr>
    </w:p>
    <w:p w14:paraId="45C03AA5">
      <w:pPr>
        <w:spacing w:line="480" w:lineRule="exact"/>
        <w:ind w:firstLine="482" w:firstLineChars="200"/>
        <w:rPr>
          <w:rFonts w:hint="eastAsia" w:ascii="宋体" w:hAnsi="宋体" w:eastAsia="宋体" w:cs="宋体"/>
          <w:b/>
          <w:bCs/>
          <w:color w:val="auto"/>
          <w:sz w:val="28"/>
          <w:szCs w:val="28"/>
          <w:highlight w:val="none"/>
        </w:rPr>
      </w:pPr>
      <w:r>
        <w:rPr>
          <w:rFonts w:hint="eastAsia" w:ascii="宋体" w:hAnsi="宋体" w:eastAsia="宋体" w:cs="宋体"/>
          <w:b/>
          <w:bCs/>
          <w:color w:val="auto"/>
          <w:sz w:val="24"/>
          <w:highlight w:val="none"/>
        </w:rPr>
        <w:t>注：若为联合体参与投标，联合体各方均需提供。</w:t>
      </w:r>
    </w:p>
    <w:p w14:paraId="4DB60C7F">
      <w:pPr>
        <w:spacing w:line="480" w:lineRule="exact"/>
        <w:ind w:firstLine="562" w:firstLineChars="20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附件9：根据项目特殊要求设置的特定条件所提供的证明材料</w:t>
      </w:r>
    </w:p>
    <w:p w14:paraId="6D82A926">
      <w:pPr>
        <w:rPr>
          <w:rFonts w:hint="eastAsia" w:ascii="宋体" w:hAnsi="宋体" w:eastAsia="宋体" w:cs="宋体"/>
          <w:b/>
          <w:bCs/>
          <w:color w:val="auto"/>
          <w:sz w:val="24"/>
          <w:highlight w:val="none"/>
        </w:rPr>
      </w:pPr>
    </w:p>
    <w:p w14:paraId="3FFA6A31">
      <w:pP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若为联合体参与投标，联合体各方均需提供。</w:t>
      </w:r>
    </w:p>
    <w:p w14:paraId="51EA5879">
      <w:pP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644707EC">
      <w:pPr>
        <w:pStyle w:val="58"/>
        <w:numPr>
          <w:ilvl w:val="4"/>
          <w:numId w:val="0"/>
        </w:numPr>
        <w:rPr>
          <w:rFonts w:hint="eastAsia" w:ascii="宋体" w:hAnsi="宋体" w:eastAsia="宋体" w:cs="宋体"/>
          <w:bCs/>
          <w:color w:val="auto"/>
          <w:sz w:val="28"/>
          <w:highlight w:val="none"/>
        </w:rPr>
      </w:pPr>
      <w:r>
        <w:rPr>
          <w:rFonts w:hint="eastAsia" w:ascii="宋体" w:hAnsi="宋体" w:eastAsia="宋体" w:cs="宋体"/>
          <w:bCs/>
          <w:color w:val="auto"/>
          <w:sz w:val="28"/>
          <w:highlight w:val="none"/>
        </w:rPr>
        <w:t>附件9-1：联合体协议（如涉及）</w:t>
      </w:r>
    </w:p>
    <w:p w14:paraId="11245C56">
      <w:pPr>
        <w:wordWrap w:val="0"/>
        <w:spacing w:line="480" w:lineRule="exact"/>
        <w:ind w:firstLine="352" w:firstLineChars="147"/>
        <w:rPr>
          <w:rFonts w:hint="eastAsia" w:ascii="宋体" w:hAnsi="宋体" w:eastAsia="宋体" w:cs="宋体"/>
          <w:color w:val="auto"/>
          <w:sz w:val="24"/>
          <w:szCs w:val="24"/>
          <w:highlight w:val="none"/>
        </w:rPr>
      </w:pPr>
      <w:bookmarkStart w:id="268" w:name="_Toc32130"/>
      <w:bookmarkStart w:id="269" w:name="_Toc12474522"/>
      <w:r>
        <w:rPr>
          <w:rFonts w:hint="eastAsia" w:ascii="宋体" w:hAnsi="宋体" w:eastAsia="宋体" w:cs="宋体"/>
          <w:color w:val="auto"/>
          <w:sz w:val="24"/>
          <w:szCs w:val="24"/>
          <w:highlight w:val="none"/>
          <w:lang w:bidi="ar"/>
        </w:rPr>
        <w:t>注：1.两个投标人可以组成一个投标联合体，以一个投标人的身份投标。以联合体形式参加招标活动的，联合体各方均应具备招标文件中要求的投标人资格条件。</w:t>
      </w:r>
    </w:p>
    <w:p w14:paraId="03D8CCBC">
      <w:pPr>
        <w:wordWrap w:val="0"/>
        <w:spacing w:line="480" w:lineRule="exact"/>
        <w:ind w:firstLine="352" w:firstLineChars="147"/>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联合体各方之间应当签订共同投标协议，明确约定联合体各方承担的工作和相应的责任，并将共同投标协议连同投标文件一并提交招标单位。联合体各方签订共同投标协议后，不得再以自己名义单独在同一项目中投标，也不得组成新的联合体参加同一项目招标活动。</w:t>
      </w:r>
    </w:p>
    <w:bookmarkEnd w:id="268"/>
    <w:bookmarkEnd w:id="269"/>
    <w:p w14:paraId="494578D2">
      <w:pPr>
        <w:pStyle w:val="4"/>
        <w:jc w:val="center"/>
        <w:rPr>
          <w:rFonts w:hint="eastAsia" w:ascii="宋体" w:hAnsi="宋体" w:eastAsia="宋体" w:cs="宋体"/>
          <w:color w:val="auto"/>
          <w:sz w:val="36"/>
          <w:szCs w:val="36"/>
          <w:highlight w:val="none"/>
        </w:rPr>
      </w:pPr>
      <w:bookmarkStart w:id="270" w:name="_Toc51167577"/>
      <w:bookmarkStart w:id="271" w:name="_Toc41399281"/>
      <w:bookmarkStart w:id="272" w:name="_Toc52184644"/>
      <w:bookmarkStart w:id="273" w:name="_Toc52274187"/>
      <w:bookmarkStart w:id="274" w:name="_Toc87539735"/>
      <w:bookmarkStart w:id="275" w:name="_Toc256000132"/>
      <w:r>
        <w:rPr>
          <w:rFonts w:hint="eastAsia" w:ascii="宋体" w:hAnsi="宋体" w:eastAsia="宋体" w:cs="宋体"/>
          <w:color w:val="auto"/>
          <w:sz w:val="36"/>
          <w:szCs w:val="36"/>
          <w:highlight w:val="none"/>
        </w:rPr>
        <w:t>联合体协议书</w:t>
      </w:r>
      <w:bookmarkEnd w:id="270"/>
      <w:bookmarkEnd w:id="271"/>
      <w:bookmarkEnd w:id="272"/>
      <w:bookmarkEnd w:id="273"/>
      <w:bookmarkEnd w:id="274"/>
      <w:r>
        <w:rPr>
          <w:rFonts w:hint="eastAsia" w:ascii="宋体" w:hAnsi="宋体" w:eastAsia="宋体" w:cs="宋体"/>
          <w:color w:val="auto"/>
          <w:sz w:val="36"/>
          <w:szCs w:val="36"/>
          <w:highlight w:val="none"/>
        </w:rPr>
        <w:t>（如涉及）</w:t>
      </w:r>
      <w:bookmarkEnd w:id="275"/>
    </w:p>
    <w:p w14:paraId="4A45981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牵头人名称：</w:t>
      </w:r>
      <w:r>
        <w:rPr>
          <w:rFonts w:hint="eastAsia" w:ascii="宋体" w:hAnsi="宋体" w:eastAsia="宋体" w:cs="宋体"/>
          <w:color w:val="auto"/>
          <w:highlight w:val="none"/>
          <w:u w:val="single"/>
        </w:rPr>
        <w:t xml:space="preserve">                                                  </w:t>
      </w:r>
    </w:p>
    <w:p w14:paraId="203005B6">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p>
    <w:p w14:paraId="1A94BB27">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法定住所：</w:t>
      </w:r>
      <w:r>
        <w:rPr>
          <w:rFonts w:hint="eastAsia" w:ascii="宋体" w:hAnsi="宋体" w:eastAsia="宋体" w:cs="宋体"/>
          <w:color w:val="auto"/>
          <w:highlight w:val="none"/>
          <w:u w:val="single"/>
        </w:rPr>
        <w:t xml:space="preserve">                                                    </w:t>
      </w:r>
    </w:p>
    <w:p w14:paraId="7AF773D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成员二名称：</w:t>
      </w:r>
      <w:r>
        <w:rPr>
          <w:rFonts w:hint="eastAsia" w:ascii="宋体" w:hAnsi="宋体" w:eastAsia="宋体" w:cs="宋体"/>
          <w:color w:val="auto"/>
          <w:highlight w:val="none"/>
          <w:u w:val="single"/>
        </w:rPr>
        <w:t xml:space="preserve">                                                  </w:t>
      </w:r>
    </w:p>
    <w:p w14:paraId="1BF0A950">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p>
    <w:p w14:paraId="51C26A9A">
      <w:pPr>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法定住所：</w:t>
      </w:r>
      <w:r>
        <w:rPr>
          <w:rFonts w:hint="eastAsia" w:ascii="宋体" w:hAnsi="宋体" w:eastAsia="宋体" w:cs="宋体"/>
          <w:color w:val="auto"/>
          <w:highlight w:val="none"/>
          <w:u w:val="single"/>
        </w:rPr>
        <w:t xml:space="preserve">                                                    </w:t>
      </w:r>
    </w:p>
    <w:p w14:paraId="65E0485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鉴于上述各成员单位经过友好协商，自愿组成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（联合体名称）联合体，共同参加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（招标人名称）（以下简称招标人）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（项目名称）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（以下简称本项目）的投标。现就联合体投标事宜订立如下协议：</w:t>
      </w:r>
    </w:p>
    <w:p w14:paraId="6F0D158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（某成员单位名称）为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（联合体名称）牵头人。</w:t>
      </w:r>
    </w:p>
    <w:p w14:paraId="676C4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联合体牵头人代表联合体参加投标活动、提交保证金、递交投标文件、履行投标义务，签署文件，提交和接收相关的资料、信息及指示，进行合同谈判活动，负责合同实施阶段的组织和协调工作，以及处理与本招标项目有关的一切事宜。</w:t>
      </w:r>
    </w:p>
    <w:p w14:paraId="404FCA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3、联合体牵头人在本项目中签署的一切文件和处理的一切事宜，联合体各成员均予以承认。联合体各成员将严格按照招标文件、投标文件和合同的要求全面履行义务，并向招标人承担连带责任。</w:t>
      </w:r>
    </w:p>
    <w:p w14:paraId="64F4387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4.联合体各成员单位内部的职责分工如下：</w:t>
      </w:r>
      <w:r>
        <w:rPr>
          <w:rFonts w:hint="eastAsia" w:ascii="宋体" w:hAnsi="宋体" w:eastAsia="宋体" w:cs="宋体"/>
          <w:color w:val="auto"/>
          <w:highlight w:val="none"/>
          <w:u w:val="single"/>
        </w:rPr>
        <w:t xml:space="preserve">                              </w:t>
      </w:r>
    </w:p>
    <w:p w14:paraId="5E6DA02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p>
    <w:p w14:paraId="44DA67A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5、投标工作和联合体在中标后项目实施过程中的有关费用按各自承担的工作量协商分摊。</w:t>
      </w:r>
    </w:p>
    <w:p w14:paraId="349D174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投标联合体及其成员通过协议、控股或分支机构或其它方式就供货及服务等与任何独立或非独立的他方构成联合、分属或其它关系、相关责任义务等，均由投标联合体及其成员与该他方之间的约定均仅属于其间分担权利义务与责任的办法，对招标人、招标代理机构及相关第三方均不具有任何约束或效力，且一旦发生与本招标、投标、协议及其履行相关的责任，均仅应由联合体及其成员与该他方各自或承担连带责任，而联合体及其成员依据本次招标、投标原所应承担的对招标人、招标代理机构及相关第三方的责任均并不因此被减、免。</w:t>
      </w:r>
    </w:p>
    <w:p w14:paraId="1623265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联合体中标后，合同应由各成员的合法授权代表签字并加盖各成员公章，以便对联合体成员作为整体和他们各自作为独立体均具有法律约束力，但若该等签字及公章不齐全或缺乏，该联合体的牵头人的签署或类似的意思表示人具有代表该联合体的签署及意思表示的法律效力，并且据此各成员为履行合同应向招标人、招标代理机构及相关第三方承担连带责任。</w:t>
      </w:r>
    </w:p>
    <w:p w14:paraId="287E6E2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8、联合体及其成员未经招标人事先书面同意，不得将其在合同项下的权利及义务全部或部分转让给第三人，有关分包事项或服务委托等须事先取得招标人书面同意并且须遵守相关法律、法规、本次招标的全部相关规定。</w:t>
      </w:r>
    </w:p>
    <w:p w14:paraId="5D305E3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9、联合体各方均不得同时再以自己独立的名义单独投标，也不得再同时参加其他的联合体投标。若该等情形被发现，其单独的投标和与此有关的联合体的投标均将被一并拒绝。</w:t>
      </w:r>
    </w:p>
    <w:p w14:paraId="2DC1A06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10、本协议书自签署之日起生效，联合体未中标或者中标时合同履行完毕后自动失效。</w:t>
      </w:r>
    </w:p>
    <w:p w14:paraId="1FDE72F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11、本协议书一式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份，联合体成员和招标人各执两份。</w:t>
      </w:r>
    </w:p>
    <w:p w14:paraId="7717AA3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1F4B229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牵头人名称：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（盖单位章）</w:t>
      </w:r>
    </w:p>
    <w:p w14:paraId="42FAEA1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w:t>
      </w:r>
    </w:p>
    <w:p w14:paraId="6F458C3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成员二名称：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（盖单位章）</w:t>
      </w:r>
    </w:p>
    <w:p w14:paraId="39CA20F7">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w:t>
      </w:r>
    </w:p>
    <w:p w14:paraId="4254A532">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  </w:t>
      </w:r>
    </w:p>
    <w:p w14:paraId="4B24B424">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备注：本协议书由委托代理人签字的，应附法定代表人签字的授权委托书</w:t>
      </w:r>
      <w:r>
        <w:rPr>
          <w:rFonts w:hint="eastAsia" w:ascii="宋体" w:hAnsi="宋体" w:eastAsia="宋体" w:cs="宋体"/>
          <w:color w:val="auto"/>
          <w:highlight w:val="none"/>
        </w:rPr>
        <w:t>。</w:t>
      </w:r>
    </w:p>
    <w:p w14:paraId="2A74C9CF">
      <w:pPr>
        <w:pStyle w:val="59"/>
        <w:rPr>
          <w:rFonts w:hint="eastAsia" w:ascii="宋体" w:hAnsi="宋体" w:eastAsia="宋体" w:cs="宋体"/>
          <w:b/>
          <w:bCs/>
          <w:color w:val="auto"/>
          <w:sz w:val="24"/>
          <w:szCs w:val="24"/>
          <w:highlight w:val="none"/>
        </w:rPr>
      </w:pPr>
    </w:p>
    <w:p w14:paraId="6F072E23">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53D82258">
      <w:pPr>
        <w:rPr>
          <w:rFonts w:hint="eastAsia" w:ascii="宋体" w:hAnsi="宋体" w:eastAsia="宋体" w:cs="宋体"/>
          <w:color w:val="auto"/>
          <w:szCs w:val="28"/>
          <w:highlight w:val="none"/>
        </w:rPr>
      </w:pPr>
      <w:bookmarkStart w:id="276" w:name="_Toc529471097"/>
      <w:bookmarkStart w:id="277" w:name="_Toc16339"/>
      <w:bookmarkStart w:id="278" w:name="_Toc32277"/>
      <w:bookmarkStart w:id="279" w:name="_Toc481680819"/>
      <w:bookmarkStart w:id="280" w:name="_Toc510546624"/>
      <w:bookmarkStart w:id="281" w:name="_Toc135662388"/>
      <w:bookmarkStart w:id="282" w:name="_Toc529471071"/>
      <w:bookmarkStart w:id="283" w:name="_Toc474147048"/>
      <w:bookmarkStart w:id="284" w:name="_Toc26179"/>
      <w:bookmarkStart w:id="285" w:name="_Toc509999385"/>
      <w:bookmarkStart w:id="286" w:name="_Toc481680740"/>
      <w:bookmarkStart w:id="287" w:name="_Toc481503309"/>
      <w:bookmarkStart w:id="288" w:name="_Toc11448"/>
      <w:r>
        <w:rPr>
          <w:rFonts w:hint="eastAsia" w:ascii="宋体" w:hAnsi="宋体" w:eastAsia="宋体" w:cs="宋体"/>
          <w:b/>
          <w:bCs/>
          <w:color w:val="auto"/>
          <w:sz w:val="28"/>
          <w:szCs w:val="28"/>
          <w:highlight w:val="none"/>
        </w:rPr>
        <w:t>附件</w:t>
      </w:r>
      <w:bookmarkEnd w:id="276"/>
      <w:bookmarkEnd w:id="277"/>
      <w:bookmarkEnd w:id="278"/>
      <w:bookmarkEnd w:id="279"/>
      <w:bookmarkEnd w:id="280"/>
      <w:bookmarkEnd w:id="281"/>
      <w:bookmarkEnd w:id="282"/>
      <w:bookmarkEnd w:id="283"/>
      <w:bookmarkEnd w:id="284"/>
      <w:bookmarkEnd w:id="285"/>
      <w:bookmarkEnd w:id="286"/>
      <w:bookmarkEnd w:id="287"/>
      <w:bookmarkEnd w:id="288"/>
      <w:r>
        <w:rPr>
          <w:rFonts w:hint="eastAsia" w:ascii="宋体" w:hAnsi="宋体" w:eastAsia="宋体" w:cs="宋体"/>
          <w:b/>
          <w:bCs/>
          <w:color w:val="auto"/>
          <w:sz w:val="28"/>
          <w:szCs w:val="28"/>
          <w:highlight w:val="none"/>
        </w:rPr>
        <w:t>10：投标保证金</w:t>
      </w:r>
    </w:p>
    <w:p w14:paraId="23AAED1E">
      <w:pPr>
        <w:ind w:firstLine="562" w:firstLineChars="200"/>
        <w:jc w:val="center"/>
        <w:rPr>
          <w:rFonts w:hint="eastAsia" w:ascii="宋体" w:hAnsi="宋体" w:eastAsia="宋体" w:cs="宋体"/>
          <w:b/>
          <w:color w:val="auto"/>
          <w:sz w:val="28"/>
          <w:szCs w:val="28"/>
          <w:highlight w:val="none"/>
        </w:rPr>
      </w:pPr>
      <w:bookmarkStart w:id="289" w:name="_Toc2150"/>
      <w:bookmarkStart w:id="290" w:name="_Toc8161"/>
      <w:bookmarkStart w:id="291" w:name="_Toc23586"/>
      <w:bookmarkStart w:id="292" w:name="_Toc4554"/>
    </w:p>
    <w:p w14:paraId="3AEA6183">
      <w:pPr>
        <w:ind w:firstLine="562" w:firstLine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投标保证金</w:t>
      </w:r>
      <w:bookmarkEnd w:id="289"/>
      <w:bookmarkEnd w:id="290"/>
      <w:bookmarkEnd w:id="291"/>
      <w:bookmarkEnd w:id="292"/>
    </w:p>
    <w:p w14:paraId="30ACA08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3C22E4E6">
      <w:pPr>
        <w:spacing w:line="46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本投标人自愿参加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pacing w:val="8"/>
          <w:sz w:val="24"/>
          <w:szCs w:val="24"/>
          <w:highlight w:val="none"/>
          <w:u w:val="single"/>
        </w:rPr>
        <w:t xml:space="preserve"> 项目名称    </w:t>
      </w:r>
      <w:r>
        <w:rPr>
          <w:rFonts w:hint="eastAsia" w:ascii="宋体" w:hAnsi="宋体" w:eastAsia="宋体" w:cs="宋体"/>
          <w:color w:val="auto"/>
          <w:sz w:val="24"/>
          <w:szCs w:val="24"/>
          <w:highlight w:val="none"/>
        </w:rPr>
        <w:t>（招标编号：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的投标，并按招标文件要求交纳投标保证金，金额为人民币</w:t>
      </w: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8EC063">
      <w:pPr>
        <w:spacing w:line="360" w:lineRule="auto"/>
        <w:ind w:firstLine="540"/>
        <w:rPr>
          <w:rFonts w:hint="eastAsia" w:ascii="宋体" w:hAnsi="宋体" w:eastAsia="宋体" w:cs="宋体"/>
          <w:color w:val="auto"/>
          <w:sz w:val="24"/>
          <w:szCs w:val="24"/>
          <w:highlight w:val="none"/>
        </w:rPr>
      </w:pPr>
    </w:p>
    <w:p w14:paraId="64EB3077">
      <w:pPr>
        <w:spacing w:line="360" w:lineRule="auto"/>
        <w:ind w:firstLine="540"/>
        <w:rPr>
          <w:rFonts w:hint="eastAsia" w:ascii="宋体" w:hAnsi="宋体" w:eastAsia="宋体" w:cs="宋体"/>
          <w:color w:val="auto"/>
          <w:sz w:val="24"/>
          <w:szCs w:val="24"/>
          <w:highlight w:val="none"/>
        </w:rPr>
      </w:pPr>
      <w:bookmarkStart w:id="293" w:name="_Hlk125741839"/>
      <w:r>
        <w:rPr>
          <w:rFonts w:hint="eastAsia" w:ascii="宋体" w:hAnsi="宋体" w:eastAsia="宋体" w:cs="宋体"/>
          <w:color w:val="auto"/>
          <w:sz w:val="24"/>
          <w:szCs w:val="24"/>
          <w:highlight w:val="none"/>
        </w:rPr>
        <w:t>附：转款凭证复印件</w:t>
      </w:r>
    </w:p>
    <w:bookmarkEnd w:id="293"/>
    <w:p w14:paraId="3FEC1071">
      <w:pPr>
        <w:spacing w:line="360" w:lineRule="auto"/>
        <w:ind w:firstLine="540"/>
        <w:rPr>
          <w:rFonts w:hint="eastAsia" w:ascii="宋体" w:hAnsi="宋体" w:eastAsia="宋体" w:cs="宋体"/>
          <w:color w:val="auto"/>
          <w:sz w:val="24"/>
          <w:szCs w:val="24"/>
          <w:highlight w:val="none"/>
        </w:rPr>
      </w:pPr>
    </w:p>
    <w:p w14:paraId="5B1DA2D6">
      <w:pPr>
        <w:spacing w:line="360" w:lineRule="auto"/>
        <w:ind w:firstLine="540"/>
        <w:rPr>
          <w:rFonts w:hint="eastAsia" w:ascii="宋体" w:hAnsi="宋体" w:eastAsia="宋体" w:cs="宋体"/>
          <w:color w:val="auto"/>
          <w:sz w:val="24"/>
          <w:szCs w:val="24"/>
          <w:highlight w:val="none"/>
        </w:rPr>
      </w:pPr>
    </w:p>
    <w:p w14:paraId="16580DBB">
      <w:pPr>
        <w:spacing w:line="360" w:lineRule="auto"/>
        <w:ind w:firstLine="540"/>
        <w:rPr>
          <w:rFonts w:hint="eastAsia" w:ascii="宋体" w:hAnsi="宋体" w:eastAsia="宋体" w:cs="宋体"/>
          <w:color w:val="auto"/>
          <w:sz w:val="24"/>
          <w:szCs w:val="24"/>
          <w:highlight w:val="none"/>
        </w:rPr>
      </w:pPr>
    </w:p>
    <w:p w14:paraId="0D19D73A">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（公章）</w:t>
      </w:r>
    </w:p>
    <w:p w14:paraId="7490DECC">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年    月    日 </w:t>
      </w:r>
    </w:p>
    <w:p w14:paraId="44B59189">
      <w:pPr>
        <w:spacing w:line="480" w:lineRule="exact"/>
        <w:ind w:firstLine="562" w:firstLineChars="200"/>
        <w:rPr>
          <w:rFonts w:hint="eastAsia" w:ascii="宋体" w:hAnsi="宋体" w:eastAsia="宋体" w:cs="宋体"/>
          <w:b/>
          <w:bCs/>
          <w:color w:val="auto"/>
          <w:sz w:val="28"/>
          <w:szCs w:val="28"/>
          <w:highlight w:val="none"/>
        </w:rPr>
      </w:pPr>
    </w:p>
    <w:p w14:paraId="7BD76D09">
      <w:pPr>
        <w:spacing w:line="480" w:lineRule="exact"/>
        <w:ind w:firstLine="562" w:firstLineChars="200"/>
        <w:rPr>
          <w:rFonts w:hint="eastAsia" w:ascii="宋体" w:hAnsi="宋体" w:eastAsia="宋体" w:cs="宋体"/>
          <w:b/>
          <w:bCs/>
          <w:color w:val="auto"/>
          <w:sz w:val="28"/>
          <w:szCs w:val="28"/>
          <w:highlight w:val="none"/>
        </w:rPr>
      </w:pPr>
    </w:p>
    <w:p w14:paraId="1D67E40B">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附件11：法定代表人身份证明</w:t>
      </w:r>
    </w:p>
    <w:p w14:paraId="7706008C">
      <w:pPr>
        <w:spacing w:line="240" w:lineRule="atLeast"/>
        <w:jc w:val="center"/>
        <w:rPr>
          <w:rFonts w:hint="eastAsia" w:ascii="宋体" w:hAnsi="宋体" w:eastAsia="宋体" w:cs="宋体"/>
          <w:b/>
          <w:color w:val="auto"/>
          <w:sz w:val="28"/>
          <w:szCs w:val="28"/>
          <w:highlight w:val="none"/>
        </w:rPr>
      </w:pPr>
      <w:bookmarkStart w:id="294" w:name="_Toc13044006"/>
      <w:bookmarkStart w:id="295" w:name="_Toc12436959"/>
      <w:bookmarkStart w:id="296" w:name="_Toc12436907"/>
      <w:bookmarkStart w:id="297" w:name="_Toc13646962"/>
    </w:p>
    <w:p w14:paraId="334BC982">
      <w:pPr>
        <w:spacing w:line="240" w:lineRule="atLeas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法定代表人身份证明</w:t>
      </w:r>
      <w:bookmarkEnd w:id="294"/>
      <w:bookmarkEnd w:id="295"/>
      <w:bookmarkEnd w:id="296"/>
      <w:bookmarkEnd w:id="297"/>
    </w:p>
    <w:p w14:paraId="1979D2C8">
      <w:pPr>
        <w:snapToGrid w:val="0"/>
        <w:spacing w:line="400" w:lineRule="exact"/>
        <w:jc w:val="center"/>
        <w:rPr>
          <w:rFonts w:hint="eastAsia" w:ascii="宋体" w:hAnsi="宋体" w:eastAsia="宋体" w:cs="宋体"/>
          <w:color w:val="auto"/>
          <w:kern w:val="0"/>
          <w:highlight w:val="none"/>
        </w:rPr>
      </w:pPr>
    </w:p>
    <w:p w14:paraId="26FF64E6">
      <w:pPr>
        <w:adjustRightInd w:val="0"/>
        <w:spacing w:line="480" w:lineRule="exact"/>
        <w:rPr>
          <w:rFonts w:hint="eastAsia"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四川国锃招标代理有限公司</w:t>
      </w:r>
      <w:r>
        <w:rPr>
          <w:rFonts w:hint="eastAsia" w:ascii="宋体" w:hAnsi="宋体" w:eastAsia="宋体" w:cs="宋体"/>
          <w:bCs/>
          <w:color w:val="auto"/>
          <w:spacing w:val="8"/>
          <w:sz w:val="24"/>
          <w:szCs w:val="24"/>
          <w:highlight w:val="none"/>
        </w:rPr>
        <w:t>：</w:t>
      </w:r>
    </w:p>
    <w:p w14:paraId="5A6F3DAB">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兹声明：</w:t>
      </w:r>
      <w:r>
        <w:rPr>
          <w:rFonts w:hint="eastAsia" w:ascii="宋体" w:hAnsi="宋体" w:eastAsia="宋体" w:cs="宋体"/>
          <w:bCs/>
          <w:color w:val="auto"/>
          <w:spacing w:val="8"/>
          <w:sz w:val="24"/>
          <w:szCs w:val="24"/>
          <w:highlight w:val="none"/>
          <w:u w:val="single"/>
        </w:rPr>
        <w:t xml:space="preserve">  （姓名） </w:t>
      </w:r>
      <w:r>
        <w:rPr>
          <w:rFonts w:hint="eastAsia" w:ascii="宋体" w:hAnsi="宋体" w:eastAsia="宋体" w:cs="宋体"/>
          <w:bCs/>
          <w:color w:val="auto"/>
          <w:spacing w:val="8"/>
          <w:sz w:val="24"/>
          <w:szCs w:val="24"/>
          <w:highlight w:val="none"/>
        </w:rPr>
        <w:t>系</w:t>
      </w:r>
      <w:r>
        <w:rPr>
          <w:rFonts w:hint="eastAsia" w:ascii="宋体" w:hAnsi="宋体" w:eastAsia="宋体" w:cs="宋体"/>
          <w:bCs/>
          <w:color w:val="auto"/>
          <w:spacing w:val="8"/>
          <w:sz w:val="24"/>
          <w:szCs w:val="24"/>
          <w:highlight w:val="none"/>
          <w:u w:val="single"/>
        </w:rPr>
        <w:t xml:space="preserve">    （投标人名称）   </w:t>
      </w:r>
      <w:r>
        <w:rPr>
          <w:rFonts w:hint="eastAsia" w:ascii="宋体" w:hAnsi="宋体" w:eastAsia="宋体" w:cs="宋体"/>
          <w:bCs/>
          <w:color w:val="auto"/>
          <w:spacing w:val="8"/>
          <w:sz w:val="24"/>
          <w:szCs w:val="24"/>
          <w:highlight w:val="none"/>
        </w:rPr>
        <w:t>的法定代表人（职务</w:t>
      </w:r>
      <w:r>
        <w:rPr>
          <w:rFonts w:hint="eastAsia" w:ascii="宋体" w:hAnsi="宋体" w:eastAsia="宋体" w:cs="宋体"/>
          <w:bCs/>
          <w:color w:val="auto"/>
          <w:spacing w:val="8"/>
          <w:sz w:val="24"/>
          <w:szCs w:val="24"/>
          <w:highlight w:val="none"/>
          <w:u w:val="single"/>
        </w:rPr>
        <w:t xml:space="preserve">      </w:t>
      </w:r>
      <w:r>
        <w:rPr>
          <w:rFonts w:hint="eastAsia" w:ascii="宋体" w:hAnsi="宋体" w:eastAsia="宋体" w:cs="宋体"/>
          <w:bCs/>
          <w:color w:val="auto"/>
          <w:spacing w:val="8"/>
          <w:sz w:val="24"/>
          <w:szCs w:val="24"/>
          <w:highlight w:val="none"/>
        </w:rPr>
        <w:t>），为我方“</w:t>
      </w:r>
      <w:r>
        <w:rPr>
          <w:rFonts w:hint="eastAsia" w:ascii="宋体" w:hAnsi="宋体" w:eastAsia="宋体" w:cs="宋体"/>
          <w:bCs/>
          <w:color w:val="auto"/>
          <w:spacing w:val="8"/>
          <w:sz w:val="24"/>
          <w:szCs w:val="24"/>
          <w:highlight w:val="none"/>
          <w:u w:val="single"/>
        </w:rPr>
        <w:t xml:space="preserve">      项目名称  </w:t>
      </w:r>
      <w:r>
        <w:rPr>
          <w:rFonts w:hint="eastAsia" w:ascii="宋体" w:hAnsi="宋体" w:eastAsia="宋体" w:cs="宋体"/>
          <w:bCs/>
          <w:color w:val="auto"/>
          <w:spacing w:val="8"/>
          <w:sz w:val="24"/>
          <w:szCs w:val="24"/>
          <w:highlight w:val="none"/>
        </w:rPr>
        <w:t>”项目</w:t>
      </w:r>
      <w:r>
        <w:rPr>
          <w:rFonts w:hint="eastAsia" w:ascii="宋体" w:hAnsi="宋体" w:eastAsia="宋体" w:cs="宋体"/>
          <w:bCs/>
          <w:color w:val="auto"/>
          <w:spacing w:val="8"/>
          <w:sz w:val="24"/>
          <w:szCs w:val="24"/>
          <w:highlight w:val="none"/>
          <w:u w:val="single"/>
        </w:rPr>
        <w:t>（项目编号： ）</w:t>
      </w:r>
      <w:r>
        <w:rPr>
          <w:rFonts w:hint="eastAsia" w:ascii="宋体" w:hAnsi="宋体" w:eastAsia="宋体" w:cs="宋体"/>
          <w:bCs/>
          <w:color w:val="auto"/>
          <w:spacing w:val="8"/>
          <w:sz w:val="24"/>
          <w:szCs w:val="24"/>
          <w:highlight w:val="none"/>
        </w:rPr>
        <w:t>投标活动的合法代表，以我方名义全权处理该项目有关投标、签订合同以及执行合同等一切事宜。</w:t>
      </w:r>
    </w:p>
    <w:p w14:paraId="22240689">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特此声明。</w:t>
      </w:r>
    </w:p>
    <w:p w14:paraId="0C09C7E8">
      <w:pPr>
        <w:snapToGrid w:val="0"/>
        <w:spacing w:line="480" w:lineRule="exact"/>
        <w:rPr>
          <w:rFonts w:hint="eastAsia" w:ascii="宋体" w:hAnsi="宋体" w:eastAsia="宋体" w:cs="宋体"/>
          <w:color w:val="auto"/>
          <w:sz w:val="24"/>
          <w:szCs w:val="24"/>
          <w:highlight w:val="none"/>
        </w:rPr>
      </w:pPr>
    </w:p>
    <w:p w14:paraId="2E10A26B">
      <w:pPr>
        <w:snapToGrid w:val="0"/>
        <w:spacing w:line="480" w:lineRule="exact"/>
        <w:ind w:firstLine="480" w:firstLineChars="200"/>
        <w:rPr>
          <w:rFonts w:hint="eastAsia" w:ascii="宋体" w:hAnsi="宋体" w:eastAsia="宋体" w:cs="宋体"/>
          <w:color w:val="auto"/>
          <w:sz w:val="24"/>
          <w:szCs w:val="24"/>
          <w:highlight w:val="none"/>
        </w:rPr>
      </w:pPr>
    </w:p>
    <w:p w14:paraId="7C1C178C">
      <w:pPr>
        <w:snapToGrid w:val="0"/>
        <w:spacing w:line="480" w:lineRule="exact"/>
        <w:ind w:firstLine="480" w:firstLineChars="200"/>
        <w:rPr>
          <w:rFonts w:hint="eastAsia" w:ascii="宋体" w:hAnsi="宋体" w:eastAsia="宋体" w:cs="宋体"/>
          <w:color w:val="auto"/>
          <w:sz w:val="24"/>
          <w:szCs w:val="24"/>
          <w:highlight w:val="none"/>
        </w:rPr>
      </w:pPr>
    </w:p>
    <w:p w14:paraId="239E1649">
      <w:pPr>
        <w:snapToGri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bCs/>
          <w:color w:val="auto"/>
          <w:spacing w:val="8"/>
          <w:sz w:val="24"/>
          <w:szCs w:val="24"/>
          <w:highlight w:val="none"/>
        </w:rPr>
        <w:t>（签字或盖法定代表人章）</w:t>
      </w:r>
      <w:r>
        <w:rPr>
          <w:rFonts w:hint="eastAsia" w:ascii="宋体" w:hAnsi="宋体" w:eastAsia="宋体" w:cs="宋体"/>
          <w:color w:val="auto"/>
          <w:sz w:val="24"/>
          <w:szCs w:val="24"/>
          <w:highlight w:val="none"/>
        </w:rPr>
        <w:t>：</w:t>
      </w:r>
    </w:p>
    <w:p w14:paraId="6ECE5244">
      <w:pPr>
        <w:snapToGri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0365504A">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 标 日 期：      年      月     日</w:t>
      </w:r>
    </w:p>
    <w:p w14:paraId="419057DF">
      <w:pPr>
        <w:snapToGrid w:val="0"/>
        <w:spacing w:line="480" w:lineRule="exact"/>
        <w:ind w:firstLine="480" w:firstLineChars="200"/>
        <w:rPr>
          <w:rFonts w:hint="eastAsia" w:ascii="宋体" w:hAnsi="宋体" w:eastAsia="宋体" w:cs="宋体"/>
          <w:color w:val="auto"/>
          <w:sz w:val="24"/>
          <w:szCs w:val="24"/>
          <w:highlight w:val="none"/>
        </w:rPr>
      </w:pPr>
    </w:p>
    <w:p w14:paraId="4F0144A7">
      <w:pPr>
        <w:snapToGrid w:val="0"/>
        <w:spacing w:line="480" w:lineRule="exact"/>
        <w:rPr>
          <w:rFonts w:hint="eastAsia" w:ascii="宋体" w:hAnsi="宋体" w:eastAsia="宋体" w:cs="宋体"/>
          <w:color w:val="auto"/>
          <w:sz w:val="24"/>
          <w:szCs w:val="24"/>
          <w:highlight w:val="none"/>
        </w:rPr>
      </w:pPr>
    </w:p>
    <w:p w14:paraId="3717F00D">
      <w:pPr>
        <w:adjustRightInd w:val="0"/>
        <w:spacing w:line="48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注：1.法定代表人亲自参加提供；</w:t>
      </w:r>
    </w:p>
    <w:p w14:paraId="41973076">
      <w:pPr>
        <w:adjustRightInd w:val="0"/>
        <w:spacing w:line="480" w:lineRule="exact"/>
        <w:ind w:firstLine="480" w:firstLineChars="200"/>
        <w:rPr>
          <w:rFonts w:hint="eastAsia"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2.必须附法定代表人身份证（复印件）；</w:t>
      </w:r>
    </w:p>
    <w:p w14:paraId="743BD37C">
      <w:pPr>
        <w:adjustRightInd w:val="0"/>
        <w:spacing w:line="48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3.投标人属于银行、保险、石油石化、电力、电信等有行业特殊情况的，提供分支机构负责人身份证明，并附分支机构负责人身份证（复印件）。</w:t>
      </w:r>
    </w:p>
    <w:p w14:paraId="4BB717C9">
      <w:pPr>
        <w:rPr>
          <w:rFonts w:hint="eastAsia" w:ascii="宋体" w:hAnsi="宋体" w:eastAsia="宋体" w:cs="宋体"/>
          <w:b/>
          <w:bCs/>
          <w:color w:val="auto"/>
          <w:sz w:val="24"/>
          <w:szCs w:val="24"/>
          <w:highlight w:val="none"/>
        </w:rPr>
      </w:pPr>
    </w:p>
    <w:p w14:paraId="15EEAF2E">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附件12：法定代表人授权委托书</w:t>
      </w:r>
    </w:p>
    <w:p w14:paraId="204CC7A8">
      <w:pPr>
        <w:spacing w:line="500" w:lineRule="exact"/>
        <w:ind w:firstLine="840" w:firstLineChars="299"/>
        <w:jc w:val="center"/>
        <w:rPr>
          <w:rFonts w:hint="eastAsia" w:ascii="宋体" w:hAnsi="宋体" w:eastAsia="宋体" w:cs="宋体"/>
          <w:b/>
          <w:bCs/>
          <w:color w:val="auto"/>
          <w:sz w:val="28"/>
          <w:szCs w:val="28"/>
          <w:highlight w:val="none"/>
        </w:rPr>
      </w:pPr>
    </w:p>
    <w:p w14:paraId="396AFA3C">
      <w:pPr>
        <w:spacing w:line="500" w:lineRule="exact"/>
        <w:ind w:firstLine="840" w:firstLineChars="299"/>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法定代表人授权委托书</w:t>
      </w:r>
    </w:p>
    <w:p w14:paraId="11CFB11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48DBCD5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本授权声明：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（法定代表人姓名、职务）授权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被授权人姓名、职务）为我方</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pacing w:val="8"/>
          <w:sz w:val="24"/>
          <w:szCs w:val="24"/>
          <w:highlight w:val="none"/>
          <w:u w:val="single"/>
        </w:rPr>
        <w:t xml:space="preserve"> 项目名称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项目（招标编号：）投标活动的合法代表，以我方名义全权处理该项目有关投标、签订合同以及执行合同等一切事宜。</w:t>
      </w:r>
    </w:p>
    <w:p w14:paraId="42119D5F">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03652E92">
      <w:pPr>
        <w:spacing w:line="360" w:lineRule="auto"/>
        <w:ind w:firstLine="717" w:firstLineChars="299"/>
        <w:rPr>
          <w:rFonts w:hint="eastAsia" w:ascii="宋体" w:hAnsi="宋体" w:eastAsia="宋体" w:cs="宋体"/>
          <w:color w:val="auto"/>
          <w:sz w:val="24"/>
          <w:szCs w:val="24"/>
          <w:highlight w:val="none"/>
        </w:rPr>
      </w:pPr>
    </w:p>
    <w:p w14:paraId="134A96BB">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p>
    <w:p w14:paraId="385B634F">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w:t>
      </w:r>
    </w:p>
    <w:p w14:paraId="392B1BBF">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1AEE0739">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授权时间：      年      月     日</w:t>
      </w:r>
    </w:p>
    <w:p w14:paraId="63296157">
      <w:pPr>
        <w:rPr>
          <w:rFonts w:hint="eastAsia" w:ascii="宋体" w:hAnsi="宋体" w:eastAsia="宋体" w:cs="宋体"/>
          <w:color w:val="auto"/>
          <w:sz w:val="24"/>
          <w:szCs w:val="24"/>
          <w:highlight w:val="none"/>
        </w:rPr>
      </w:pPr>
    </w:p>
    <w:p w14:paraId="5187C679">
      <w:pPr>
        <w:pStyle w:val="17"/>
        <w:ind w:firstLine="480" w:firstLineChars="200"/>
        <w:rPr>
          <w:rFonts w:hint="eastAsia" w:ascii="宋体" w:hAnsi="宋体" w:eastAsia="宋体" w:cs="宋体"/>
          <w:color w:val="auto"/>
          <w:sz w:val="24"/>
          <w:szCs w:val="24"/>
          <w:highlight w:val="none"/>
        </w:rPr>
      </w:pPr>
    </w:p>
    <w:p w14:paraId="5CE0147C">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注：1.非法人参加提供法定代表人授权委托书；</w:t>
      </w:r>
    </w:p>
    <w:p w14:paraId="75FF5151">
      <w:pPr>
        <w:pStyle w:val="17"/>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2.附法定代表人身份证和代理人身份证的复印件或扫描件加盖鲜章。</w:t>
      </w:r>
    </w:p>
    <w:p w14:paraId="4CF56840">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附件13：开标一览表</w:t>
      </w:r>
    </w:p>
    <w:p w14:paraId="76A6245E">
      <w:pPr>
        <w:pStyle w:val="17"/>
        <w:rPr>
          <w:rFonts w:hint="eastAsia" w:ascii="宋体" w:hAnsi="宋体" w:eastAsia="宋体" w:cs="宋体"/>
          <w:color w:val="auto"/>
          <w:sz w:val="28"/>
          <w:szCs w:val="28"/>
          <w:highlight w:val="none"/>
        </w:rPr>
      </w:pPr>
    </w:p>
    <w:p w14:paraId="390E637C">
      <w:pPr>
        <w:spacing w:line="50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p>
    <w:p w14:paraId="6794BAA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项目名称：客服技术支持服务文件编制工具</w:t>
      </w:r>
    </w:p>
    <w:p w14:paraId="6ACA62F4">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SCGZ招【2025】12-02号</w:t>
      </w:r>
    </w:p>
    <w:tbl>
      <w:tblPr>
        <w:tblStyle w:val="47"/>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vAlign w:val="center"/>
          </w:tcPr>
          <w:p w14:paraId="35D96419">
            <w:pPr>
              <w:spacing w:line="360" w:lineRule="auto"/>
              <w:jc w:val="center"/>
              <w:rPr>
                <w:rFonts w:hint="eastAsia" w:ascii="宋体" w:hAnsi="宋体" w:eastAsia="宋体" w:cs="宋体"/>
                <w:color w:val="auto"/>
                <w:sz w:val="24"/>
                <w:szCs w:val="24"/>
                <w:highlight w:val="none"/>
              </w:rPr>
            </w:pPr>
            <w:bookmarkStart w:id="298" w:name="_Toc15386"/>
            <w:bookmarkStart w:id="299" w:name="_Toc7812"/>
            <w:bookmarkStart w:id="300" w:name="_Toc9663"/>
            <w:r>
              <w:rPr>
                <w:rFonts w:hint="eastAsia" w:ascii="宋体" w:hAnsi="宋体" w:eastAsia="宋体" w:cs="宋体"/>
                <w:color w:val="auto"/>
                <w:sz w:val="24"/>
                <w:szCs w:val="24"/>
                <w:highlight w:val="none"/>
              </w:rPr>
              <w:t>项目名称</w:t>
            </w:r>
          </w:p>
        </w:tc>
        <w:tc>
          <w:tcPr>
            <w:tcW w:w="2269" w:type="dxa"/>
            <w:vMerge w:val="restart"/>
            <w:vAlign w:val="center"/>
          </w:tcPr>
          <w:p w14:paraId="1036207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投标总价（含税）（元）</w:t>
            </w:r>
          </w:p>
        </w:tc>
        <w:tc>
          <w:tcPr>
            <w:tcW w:w="3558" w:type="dxa"/>
            <w:gridSpan w:val="2"/>
            <w:vAlign w:val="center"/>
          </w:tcPr>
          <w:p w14:paraId="389EB93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1726" w:type="dxa"/>
            <w:vMerge w:val="restart"/>
            <w:vAlign w:val="center"/>
          </w:tcPr>
          <w:p w14:paraId="6E5C09D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vAlign w:val="center"/>
          </w:tcPr>
          <w:p w14:paraId="5A52B373">
            <w:pPr>
              <w:spacing w:line="360" w:lineRule="auto"/>
              <w:jc w:val="center"/>
              <w:rPr>
                <w:rFonts w:hint="eastAsia" w:ascii="宋体" w:hAnsi="宋体" w:eastAsia="宋体" w:cs="宋体"/>
                <w:color w:val="auto"/>
                <w:sz w:val="24"/>
                <w:szCs w:val="24"/>
                <w:highlight w:val="none"/>
              </w:rPr>
            </w:pPr>
          </w:p>
        </w:tc>
        <w:tc>
          <w:tcPr>
            <w:tcW w:w="2269" w:type="dxa"/>
            <w:vMerge w:val="continue"/>
            <w:vAlign w:val="center"/>
          </w:tcPr>
          <w:p w14:paraId="680E3508">
            <w:pPr>
              <w:spacing w:line="360" w:lineRule="auto"/>
              <w:jc w:val="center"/>
              <w:rPr>
                <w:rFonts w:hint="eastAsia" w:ascii="宋体" w:hAnsi="宋体" w:eastAsia="宋体" w:cs="宋体"/>
                <w:color w:val="auto"/>
                <w:sz w:val="24"/>
                <w:szCs w:val="24"/>
                <w:highlight w:val="none"/>
              </w:rPr>
            </w:pPr>
          </w:p>
        </w:tc>
        <w:tc>
          <w:tcPr>
            <w:tcW w:w="2058" w:type="dxa"/>
            <w:vAlign w:val="center"/>
          </w:tcPr>
          <w:p w14:paraId="582F421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不含税价</w:t>
            </w:r>
          </w:p>
        </w:tc>
        <w:tc>
          <w:tcPr>
            <w:tcW w:w="1500" w:type="dxa"/>
            <w:vAlign w:val="center"/>
          </w:tcPr>
          <w:p w14:paraId="41B498C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税率</w:t>
            </w:r>
          </w:p>
        </w:tc>
        <w:tc>
          <w:tcPr>
            <w:tcW w:w="1726" w:type="dxa"/>
            <w:vMerge w:val="continue"/>
            <w:vAlign w:val="center"/>
          </w:tcPr>
          <w:p w14:paraId="3AFD3979">
            <w:pPr>
              <w:spacing w:line="360" w:lineRule="auto"/>
              <w:jc w:val="center"/>
              <w:rPr>
                <w:rFonts w:hint="eastAsia" w:ascii="宋体" w:hAnsi="宋体" w:eastAsia="宋体" w:cs="宋体"/>
                <w:color w:val="auto"/>
                <w:sz w:val="24"/>
                <w:szCs w:val="24"/>
                <w:highlight w:val="none"/>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vAlign w:val="center"/>
          </w:tcPr>
          <w:p w14:paraId="069D41C7">
            <w:pPr>
              <w:spacing w:line="360" w:lineRule="auto"/>
              <w:rPr>
                <w:rFonts w:hint="eastAsia" w:ascii="宋体" w:hAnsi="宋体" w:eastAsia="宋体" w:cs="宋体"/>
                <w:color w:val="auto"/>
                <w:sz w:val="24"/>
                <w:szCs w:val="24"/>
                <w:highlight w:val="none"/>
              </w:rPr>
            </w:pPr>
          </w:p>
        </w:tc>
        <w:tc>
          <w:tcPr>
            <w:tcW w:w="2269" w:type="dxa"/>
            <w:vAlign w:val="center"/>
          </w:tcPr>
          <w:p w14:paraId="03DA627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大写：  </w:t>
            </w:r>
          </w:p>
          <w:p w14:paraId="1BE8E7AF">
            <w:pPr>
              <w:spacing w:line="360" w:lineRule="auto"/>
              <w:rPr>
                <w:rFonts w:hint="eastAsia" w:ascii="宋体" w:hAnsi="宋体" w:eastAsia="宋体" w:cs="宋体"/>
                <w:color w:val="auto"/>
                <w:highlight w:val="none"/>
              </w:rPr>
            </w:pPr>
            <w:r>
              <w:rPr>
                <w:rFonts w:hint="eastAsia" w:ascii="宋体" w:hAnsi="宋体" w:eastAsia="宋体" w:cs="宋体"/>
                <w:color w:val="auto"/>
                <w:sz w:val="24"/>
                <w:szCs w:val="24"/>
                <w:highlight w:val="none"/>
              </w:rPr>
              <w:t>小写：</w:t>
            </w:r>
          </w:p>
        </w:tc>
        <w:tc>
          <w:tcPr>
            <w:tcW w:w="2058" w:type="dxa"/>
            <w:vAlign w:val="center"/>
          </w:tcPr>
          <w:p w14:paraId="51590F2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大写：  </w:t>
            </w:r>
          </w:p>
          <w:p w14:paraId="1CFEBE1D">
            <w:pPr>
              <w:spacing w:line="360" w:lineRule="auto"/>
              <w:rPr>
                <w:rFonts w:hint="eastAsia" w:ascii="宋体" w:hAnsi="宋体" w:eastAsia="宋体" w:cs="宋体"/>
                <w:color w:val="auto"/>
                <w:highlight w:val="none"/>
              </w:rPr>
            </w:pPr>
            <w:r>
              <w:rPr>
                <w:rFonts w:hint="eastAsia" w:ascii="宋体" w:hAnsi="宋体" w:eastAsia="宋体" w:cs="宋体"/>
                <w:color w:val="auto"/>
                <w:sz w:val="24"/>
                <w:szCs w:val="24"/>
                <w:highlight w:val="none"/>
              </w:rPr>
              <w:t>小写：</w:t>
            </w:r>
          </w:p>
        </w:tc>
        <w:tc>
          <w:tcPr>
            <w:tcW w:w="1500" w:type="dxa"/>
            <w:vAlign w:val="center"/>
          </w:tcPr>
          <w:p w14:paraId="7EE9508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1726" w:type="dxa"/>
            <w:vAlign w:val="center"/>
          </w:tcPr>
          <w:p w14:paraId="1D9455CB">
            <w:pPr>
              <w:spacing w:line="360" w:lineRule="auto"/>
              <w:rPr>
                <w:rFonts w:hint="eastAsia" w:ascii="宋体" w:hAnsi="宋体" w:eastAsia="宋体" w:cs="宋体"/>
                <w:color w:val="auto"/>
                <w:sz w:val="24"/>
                <w:szCs w:val="24"/>
                <w:highlight w:val="none"/>
              </w:rPr>
            </w:pPr>
          </w:p>
        </w:tc>
      </w:tr>
    </w:tbl>
    <w:p w14:paraId="6E037A5F">
      <w:pPr>
        <w:widowControl/>
        <w:spacing w:line="360" w:lineRule="auto"/>
        <w:ind w:firstLine="472" w:firstLineChars="196"/>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w:t>
      </w:r>
      <w:bookmarkEnd w:id="298"/>
      <w:bookmarkEnd w:id="299"/>
      <w:bookmarkStart w:id="301" w:name="_Toc26667"/>
      <w:bookmarkStart w:id="302" w:name="_Toc29580"/>
      <w:r>
        <w:rPr>
          <w:rFonts w:hint="eastAsia" w:ascii="宋体" w:hAnsi="宋体" w:eastAsia="宋体" w:cs="宋体"/>
          <w:b/>
          <w:bCs/>
          <w:color w:val="auto"/>
          <w:sz w:val="24"/>
          <w:szCs w:val="24"/>
          <w:highlight w:val="none"/>
        </w:rPr>
        <w:t>1.报价应是最终用户验收合格后的总价，包括：主要包括设计费、系统费用、运输费、安装费、质保期内的维保费、其它费（含技术服务费用、技术资料费、引进技术专利费、各种检测检验试验费、安装调试费、培训技术人员费等）等为完成本项目所需的一切费用。</w:t>
      </w:r>
      <w:bookmarkEnd w:id="300"/>
      <w:bookmarkEnd w:id="301"/>
      <w:bookmarkEnd w:id="302"/>
    </w:p>
    <w:p w14:paraId="35903B68">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2.“开标一览表”需由法定代表人或授权代表签字并盖投标人公章。</w:t>
      </w:r>
    </w:p>
    <w:p w14:paraId="47DC006F">
      <w:pPr>
        <w:spacing w:line="360" w:lineRule="auto"/>
        <w:rPr>
          <w:rFonts w:hint="eastAsia" w:ascii="宋体" w:hAnsi="宋体" w:eastAsia="宋体" w:cs="宋体"/>
          <w:color w:val="auto"/>
          <w:sz w:val="24"/>
          <w:szCs w:val="24"/>
          <w:highlight w:val="none"/>
        </w:rPr>
      </w:pPr>
    </w:p>
    <w:p w14:paraId="4B1A5DAB">
      <w:pPr>
        <w:spacing w:line="360" w:lineRule="auto"/>
        <w:rPr>
          <w:rFonts w:hint="eastAsia" w:ascii="宋体" w:hAnsi="宋体" w:eastAsia="宋体" w:cs="宋体"/>
          <w:color w:val="auto"/>
          <w:sz w:val="24"/>
          <w:szCs w:val="24"/>
          <w:highlight w:val="none"/>
        </w:rPr>
      </w:pPr>
    </w:p>
    <w:p w14:paraId="406025CF">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6A66F45E">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051CDC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46A1C923">
      <w:pPr>
        <w:pStyle w:val="336"/>
        <w:rPr>
          <w:rFonts w:hint="eastAsia" w:ascii="宋体" w:hAnsi="宋体" w:eastAsia="宋体" w:cs="宋体"/>
          <w:color w:val="auto"/>
          <w:highlight w:val="none"/>
        </w:rPr>
      </w:pPr>
    </w:p>
    <w:p w14:paraId="7BCCBB68">
      <w:pPr>
        <w:rPr>
          <w:rFonts w:hint="eastAsia" w:ascii="宋体" w:hAnsi="宋体" w:eastAsia="宋体" w:cs="宋体"/>
          <w:color w:val="auto"/>
          <w:highlight w:val="none"/>
        </w:rPr>
      </w:pPr>
    </w:p>
    <w:p w14:paraId="153076F7">
      <w:pPr>
        <w:pStyle w:val="28"/>
        <w:rPr>
          <w:rFonts w:hint="eastAsia" w:ascii="宋体" w:hAnsi="宋体" w:eastAsia="宋体" w:cs="宋体"/>
          <w:color w:val="auto"/>
          <w:highlight w:val="none"/>
        </w:rPr>
      </w:pPr>
    </w:p>
    <w:p w14:paraId="2889D7B1">
      <w:pPr>
        <w:pStyle w:val="17"/>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附件14：分项报价明细表</w:t>
      </w:r>
    </w:p>
    <w:p w14:paraId="5751FCC0">
      <w:pPr>
        <w:pStyle w:val="337"/>
        <w:widowControl/>
        <w:snapToGrid w:val="0"/>
        <w:jc w:val="center"/>
        <w:rPr>
          <w:rFonts w:hint="eastAsia" w:ascii="宋体" w:hAnsi="宋体" w:eastAsia="宋体" w:cs="宋体"/>
          <w:b/>
          <w:bCs/>
          <w:color w:val="auto"/>
          <w:sz w:val="24"/>
          <w:highlight w:val="none"/>
          <w:lang w:eastAsia="zh-CN"/>
        </w:rPr>
      </w:pPr>
      <w:r>
        <w:rPr>
          <w:rStyle w:val="338"/>
          <w:rFonts w:hint="eastAsia" w:ascii="宋体" w:hAnsi="宋体" w:eastAsia="宋体" w:cs="宋体"/>
          <w:b/>
          <w:color w:val="auto"/>
          <w:sz w:val="28"/>
          <w:szCs w:val="28"/>
          <w:highlight w:val="none"/>
        </w:rPr>
        <w:t>分项报价明细表</w:t>
      </w:r>
    </w:p>
    <w:tbl>
      <w:tblPr>
        <w:tblStyle w:val="47"/>
        <w:tblW w:w="9171" w:type="dxa"/>
        <w:tblInd w:w="0" w:type="dxa"/>
        <w:tblLayout w:type="fixed"/>
        <w:tblCellMar>
          <w:top w:w="0" w:type="dxa"/>
          <w:left w:w="113" w:type="dxa"/>
          <w:bottom w:w="0" w:type="dxa"/>
          <w:right w:w="113" w:type="dxa"/>
        </w:tblCellMar>
      </w:tblPr>
      <w:tblGrid>
        <w:gridCol w:w="599"/>
        <w:gridCol w:w="2622"/>
        <w:gridCol w:w="738"/>
        <w:gridCol w:w="1776"/>
        <w:gridCol w:w="872"/>
        <w:gridCol w:w="993"/>
        <w:gridCol w:w="1571"/>
      </w:tblGrid>
      <w:tr w14:paraId="7DE2C281">
        <w:tblPrEx>
          <w:tblCellMar>
            <w:top w:w="0" w:type="dxa"/>
            <w:left w:w="113" w:type="dxa"/>
            <w:bottom w:w="0" w:type="dxa"/>
            <w:right w:w="113" w:type="dxa"/>
          </w:tblCellMar>
        </w:tblPrEx>
        <w:trPr>
          <w:trHeight w:val="689"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6FF2B">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序号</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1B8DA8F">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分项名称</w:t>
            </w:r>
          </w:p>
        </w:tc>
        <w:tc>
          <w:tcPr>
            <w:tcW w:w="738"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0AD2C1D3">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数量</w:t>
            </w:r>
          </w:p>
        </w:tc>
        <w:tc>
          <w:tcPr>
            <w:tcW w:w="177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2965D800">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单位</w:t>
            </w:r>
          </w:p>
        </w:tc>
        <w:tc>
          <w:tcPr>
            <w:tcW w:w="872"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4702F83">
            <w:pPr>
              <w:widowControl/>
              <w:textAlignment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含税单价（元）</w:t>
            </w:r>
          </w:p>
        </w:tc>
        <w:tc>
          <w:tcPr>
            <w:tcW w:w="9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E8701F2">
            <w:pPr>
              <w:widowControl/>
              <w:jc w:val="center"/>
              <w:textAlignment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小计（元）</w:t>
            </w:r>
          </w:p>
        </w:tc>
        <w:tc>
          <w:tcPr>
            <w:tcW w:w="157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693AF7">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14:paraId="695E9DD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F2DE6">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1</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83BB307">
            <w:pPr>
              <w:widowControl/>
              <w:jc w:val="center"/>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026DBEDA">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C56D8">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4A30E">
            <w:pPr>
              <w:widowControl/>
              <w:jc w:val="center"/>
              <w:textAlignment w:val="center"/>
              <w:rPr>
                <w:rFonts w:hint="eastAsia" w:ascii="宋体" w:hAnsi="宋体" w:eastAsia="宋体" w:cs="宋体"/>
                <w:bCs/>
                <w:color w:val="auto"/>
                <w:kern w:val="0"/>
                <w:sz w:val="24"/>
                <w:szCs w:val="24"/>
                <w:highlight w:val="none"/>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C57D7">
            <w:pPr>
              <w:widowControl/>
              <w:jc w:val="center"/>
              <w:textAlignment w:val="center"/>
              <w:rPr>
                <w:rFonts w:hint="eastAsia" w:ascii="宋体" w:hAnsi="宋体" w:eastAsia="宋体" w:cs="宋体"/>
                <w:bCs/>
                <w:color w:val="auto"/>
                <w:kern w:val="0"/>
                <w:sz w:val="24"/>
                <w:szCs w:val="24"/>
                <w:highlight w:val="none"/>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7D2E35">
            <w:pPr>
              <w:widowControl/>
              <w:jc w:val="center"/>
              <w:textAlignment w:val="center"/>
              <w:rPr>
                <w:rFonts w:hint="eastAsia" w:ascii="宋体" w:hAnsi="宋体" w:eastAsia="宋体" w:cs="宋体"/>
                <w:bCs/>
                <w:color w:val="auto"/>
                <w:sz w:val="24"/>
                <w:szCs w:val="24"/>
                <w:highlight w:val="none"/>
              </w:rPr>
            </w:pPr>
          </w:p>
        </w:tc>
      </w:tr>
      <w:tr w14:paraId="66D1C213">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A6A2FF">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2</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9454AFE">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10A1681">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A5AC9">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F76E59">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60418">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40064">
            <w:pPr>
              <w:widowControl/>
              <w:textAlignment w:val="center"/>
              <w:rPr>
                <w:rFonts w:hint="eastAsia" w:ascii="宋体" w:hAnsi="宋体" w:eastAsia="宋体" w:cs="宋体"/>
                <w:bCs/>
                <w:color w:val="auto"/>
                <w:sz w:val="24"/>
                <w:szCs w:val="24"/>
                <w:highlight w:val="none"/>
              </w:rPr>
            </w:pPr>
          </w:p>
        </w:tc>
      </w:tr>
      <w:tr w14:paraId="731878B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06447">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3</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8260E5D">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67BFF5">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7788B">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1A17E">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0CA2A">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F3C6E">
            <w:pPr>
              <w:widowControl/>
              <w:jc w:val="center"/>
              <w:textAlignment w:val="center"/>
              <w:rPr>
                <w:rFonts w:hint="eastAsia" w:ascii="宋体" w:hAnsi="宋体" w:eastAsia="宋体" w:cs="宋体"/>
                <w:bCs/>
                <w:color w:val="auto"/>
                <w:sz w:val="24"/>
                <w:szCs w:val="24"/>
                <w:highlight w:val="none"/>
              </w:rPr>
            </w:pPr>
          </w:p>
        </w:tc>
      </w:tr>
      <w:tr w14:paraId="070EEF59">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AAACC">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4</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A0BE293">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BB20F4E">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21092">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D404DF">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FA31A">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065CA">
            <w:pPr>
              <w:widowControl/>
              <w:jc w:val="center"/>
              <w:textAlignment w:val="center"/>
              <w:rPr>
                <w:rFonts w:hint="eastAsia" w:ascii="宋体" w:hAnsi="宋体" w:eastAsia="宋体" w:cs="宋体"/>
                <w:bCs/>
                <w:color w:val="auto"/>
                <w:sz w:val="24"/>
                <w:szCs w:val="24"/>
                <w:highlight w:val="none"/>
              </w:rPr>
            </w:pPr>
          </w:p>
        </w:tc>
      </w:tr>
      <w:tr w14:paraId="65A8B9A5">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231F6">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5</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633295">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6A15663">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56B414">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ECA12A">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06F07">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AED2A">
            <w:pPr>
              <w:widowControl/>
              <w:jc w:val="center"/>
              <w:textAlignment w:val="center"/>
              <w:rPr>
                <w:rFonts w:hint="eastAsia" w:ascii="宋体" w:hAnsi="宋体" w:eastAsia="宋体" w:cs="宋体"/>
                <w:bCs/>
                <w:color w:val="auto"/>
                <w:sz w:val="24"/>
                <w:szCs w:val="24"/>
                <w:highlight w:val="none"/>
              </w:rPr>
            </w:pPr>
          </w:p>
        </w:tc>
      </w:tr>
      <w:tr w14:paraId="5805D756">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5550C1">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6</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3FA9327A">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3A9B9CC">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E5EA3">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87002">
            <w:pPr>
              <w:widowControl/>
              <w:jc w:val="center"/>
              <w:textAlignment w:val="center"/>
              <w:rPr>
                <w:rFonts w:hint="eastAsia" w:ascii="宋体" w:hAnsi="宋体" w:eastAsia="宋体" w:cs="宋体"/>
                <w:bCs/>
                <w:color w:val="auto"/>
                <w:kern w:val="0"/>
                <w:sz w:val="24"/>
                <w:szCs w:val="24"/>
                <w:highlight w:val="none"/>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F3C37">
            <w:pPr>
              <w:widowControl/>
              <w:jc w:val="center"/>
              <w:textAlignment w:val="center"/>
              <w:rPr>
                <w:rFonts w:hint="eastAsia" w:ascii="宋体" w:hAnsi="宋体" w:eastAsia="宋体" w:cs="宋体"/>
                <w:bCs/>
                <w:color w:val="auto"/>
                <w:kern w:val="0"/>
                <w:sz w:val="24"/>
                <w:szCs w:val="24"/>
                <w:highlight w:val="none"/>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46D9A">
            <w:pPr>
              <w:widowControl/>
              <w:jc w:val="center"/>
              <w:textAlignment w:val="center"/>
              <w:rPr>
                <w:rFonts w:hint="eastAsia" w:ascii="宋体" w:hAnsi="宋体" w:eastAsia="宋体" w:cs="宋体"/>
                <w:bCs/>
                <w:color w:val="auto"/>
                <w:sz w:val="24"/>
                <w:szCs w:val="24"/>
                <w:highlight w:val="none"/>
              </w:rPr>
            </w:pPr>
          </w:p>
        </w:tc>
      </w:tr>
      <w:tr w14:paraId="598BADE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87952">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ED17F7F">
            <w:pPr>
              <w:widowControl/>
              <w:jc w:val="left"/>
              <w:textAlignment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9EEB20">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64957">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EED4A">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781E9">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D1735">
            <w:pPr>
              <w:widowControl/>
              <w:jc w:val="center"/>
              <w:textAlignment w:val="center"/>
              <w:rPr>
                <w:rFonts w:hint="eastAsia" w:ascii="宋体" w:hAnsi="宋体" w:eastAsia="宋体" w:cs="宋体"/>
                <w:bCs/>
                <w:color w:val="auto"/>
                <w:sz w:val="24"/>
                <w:szCs w:val="24"/>
                <w:highlight w:val="none"/>
              </w:rPr>
            </w:pPr>
          </w:p>
        </w:tc>
      </w:tr>
      <w:tr w14:paraId="489085B7">
        <w:tblPrEx>
          <w:tblCellMar>
            <w:top w:w="0" w:type="dxa"/>
            <w:left w:w="113" w:type="dxa"/>
            <w:bottom w:w="0" w:type="dxa"/>
            <w:right w:w="113" w:type="dxa"/>
          </w:tblCellMar>
        </w:tblPrEx>
        <w:trPr>
          <w:trHeight w:val="460" w:hRule="atLeast"/>
        </w:trPr>
        <w:tc>
          <w:tcPr>
            <w:tcW w:w="9171"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145C5">
            <w:pPr>
              <w:widowControl/>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合计（含税）：    元（大写：      ）</w:t>
            </w:r>
          </w:p>
        </w:tc>
      </w:tr>
    </w:tbl>
    <w:p w14:paraId="6B87371C">
      <w:pPr>
        <w:widowControl/>
        <w:spacing w:line="360" w:lineRule="auto"/>
        <w:ind w:firstLine="472" w:firstLineChars="196"/>
        <w:jc w:val="left"/>
        <w:rPr>
          <w:rFonts w:hint="eastAsia" w:ascii="宋体" w:hAnsi="宋体" w:eastAsia="宋体" w:cs="宋体"/>
          <w:b/>
          <w:bCs/>
          <w:color w:val="auto"/>
          <w:sz w:val="24"/>
          <w:szCs w:val="24"/>
          <w:highlight w:val="none"/>
        </w:rPr>
      </w:pPr>
      <w:bookmarkStart w:id="303" w:name="_Toc10601"/>
      <w:r>
        <w:rPr>
          <w:rFonts w:hint="eastAsia" w:ascii="宋体" w:hAnsi="宋体" w:eastAsia="宋体" w:cs="宋体"/>
          <w:b/>
          <w:bCs/>
          <w:color w:val="auto"/>
          <w:sz w:val="24"/>
          <w:szCs w:val="24"/>
          <w:highlight w:val="none"/>
        </w:rPr>
        <w:t>注：1.报价主要包括设计费、系统费用、运输费、安装费、质保期内的维保费、其它费（含技术服务费用、技术资料费、引进技术专利费、各种检测检验试验费、安装调试费、培训技术人员费等）等为完成本项目所需的一切费用。</w:t>
      </w:r>
      <w:bookmarkEnd w:id="303"/>
    </w:p>
    <w:p w14:paraId="3CC6A4B5">
      <w:pPr>
        <w:pStyle w:val="17"/>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2.合计金额应与“开标一览表”投标总价保持一致。</w:t>
      </w:r>
    </w:p>
    <w:p w14:paraId="291C7B0B">
      <w:pPr>
        <w:pStyle w:val="17"/>
        <w:ind w:firstLine="480" w:firstLineChars="200"/>
        <w:rPr>
          <w:rFonts w:hint="eastAsia" w:ascii="宋体" w:hAnsi="宋体" w:eastAsia="宋体" w:cs="宋体"/>
          <w:color w:val="auto"/>
          <w:sz w:val="24"/>
          <w:szCs w:val="24"/>
          <w:highlight w:val="none"/>
        </w:rPr>
      </w:pPr>
    </w:p>
    <w:p w14:paraId="4BA2C6E0">
      <w:pPr>
        <w:pStyle w:val="17"/>
        <w:rPr>
          <w:rFonts w:hint="eastAsia" w:ascii="宋体" w:hAnsi="宋体" w:eastAsia="宋体" w:cs="宋体"/>
          <w:b/>
          <w:bCs/>
          <w:color w:val="auto"/>
          <w:sz w:val="24"/>
          <w:szCs w:val="24"/>
          <w:highlight w:val="none"/>
        </w:rPr>
      </w:pPr>
    </w:p>
    <w:p w14:paraId="57E0B765">
      <w:pPr>
        <w:pStyle w:val="17"/>
        <w:rPr>
          <w:rFonts w:hint="eastAsia" w:ascii="宋体" w:hAnsi="宋体" w:eastAsia="宋体" w:cs="宋体"/>
          <w:b/>
          <w:bCs/>
          <w:color w:val="auto"/>
          <w:sz w:val="24"/>
          <w:szCs w:val="24"/>
          <w:highlight w:val="none"/>
        </w:rPr>
      </w:pPr>
    </w:p>
    <w:p w14:paraId="26F74FA8">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506082FB">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7C8B76C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244D1E9C">
      <w:pPr>
        <w:pStyle w:val="17"/>
        <w:rPr>
          <w:rFonts w:hint="eastAsia" w:ascii="宋体" w:hAnsi="宋体" w:eastAsia="宋体" w:cs="宋体"/>
          <w:b/>
          <w:bCs/>
          <w:color w:val="auto"/>
          <w:sz w:val="28"/>
          <w:szCs w:val="28"/>
          <w:highlight w:val="none"/>
        </w:rPr>
      </w:pPr>
    </w:p>
    <w:p w14:paraId="0FDEB136">
      <w:pPr>
        <w:pStyle w:val="17"/>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附件15：商务应答表</w:t>
      </w:r>
    </w:p>
    <w:p w14:paraId="6FC0D5F2">
      <w:pPr>
        <w:spacing w:line="240" w:lineRule="atLeast"/>
        <w:jc w:val="center"/>
        <w:rPr>
          <w:rFonts w:hint="eastAsia" w:ascii="宋体" w:hAnsi="宋体" w:eastAsia="宋体" w:cs="宋体"/>
          <w:bCs/>
          <w:color w:val="auto"/>
          <w:spacing w:val="8"/>
          <w:sz w:val="28"/>
          <w:szCs w:val="28"/>
          <w:highlight w:val="none"/>
        </w:rPr>
      </w:pPr>
      <w:bookmarkStart w:id="304" w:name="_Toc442082150"/>
      <w:bookmarkStart w:id="305" w:name="_Toc13646967"/>
      <w:bookmarkStart w:id="306" w:name="_Toc441921302"/>
      <w:bookmarkStart w:id="307" w:name="_Toc12436964"/>
      <w:bookmarkStart w:id="308" w:name="_Toc443231604"/>
      <w:bookmarkStart w:id="309" w:name="_Toc491163571"/>
      <w:bookmarkStart w:id="310" w:name="_Toc315963022"/>
      <w:bookmarkStart w:id="311" w:name="_Toc491163343"/>
      <w:bookmarkStart w:id="312" w:name="_Toc13044011"/>
      <w:bookmarkStart w:id="313" w:name="_Toc12436912"/>
      <w:bookmarkStart w:id="314" w:name="_Toc443297235"/>
      <w:bookmarkStart w:id="315" w:name="_Toc389231755"/>
      <w:r>
        <w:rPr>
          <w:rFonts w:hint="eastAsia" w:ascii="宋体" w:hAnsi="宋体" w:eastAsia="宋体" w:cs="宋体"/>
          <w:b/>
          <w:bCs/>
          <w:color w:val="auto"/>
          <w:spacing w:val="8"/>
          <w:sz w:val="28"/>
          <w:szCs w:val="28"/>
          <w:highlight w:val="none"/>
        </w:rPr>
        <w:t>商务应答表</w:t>
      </w:r>
      <w:bookmarkEnd w:id="304"/>
      <w:bookmarkEnd w:id="305"/>
      <w:bookmarkEnd w:id="306"/>
      <w:bookmarkEnd w:id="307"/>
      <w:bookmarkEnd w:id="308"/>
      <w:bookmarkEnd w:id="309"/>
      <w:bookmarkEnd w:id="310"/>
      <w:bookmarkEnd w:id="311"/>
      <w:bookmarkEnd w:id="312"/>
      <w:bookmarkEnd w:id="313"/>
      <w:bookmarkEnd w:id="314"/>
      <w:bookmarkEnd w:id="315"/>
    </w:p>
    <w:tbl>
      <w:tblPr>
        <w:tblStyle w:val="47"/>
        <w:tblW w:w="9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08"/>
        <w:gridCol w:w="3772"/>
        <w:gridCol w:w="1717"/>
        <w:gridCol w:w="1750"/>
      </w:tblGrid>
      <w:tr w14:paraId="4E1D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851" w:type="dxa"/>
            <w:tcBorders>
              <w:top w:val="single" w:color="auto" w:sz="4" w:space="0"/>
              <w:left w:val="single" w:color="auto" w:sz="4" w:space="0"/>
              <w:bottom w:val="single" w:color="auto" w:sz="4" w:space="0"/>
              <w:right w:val="single" w:color="auto" w:sz="4" w:space="0"/>
            </w:tcBorders>
            <w:vAlign w:val="center"/>
          </w:tcPr>
          <w:p w14:paraId="5508F1CF">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08" w:type="dxa"/>
            <w:tcBorders>
              <w:top w:val="single" w:color="auto" w:sz="4" w:space="0"/>
              <w:left w:val="single" w:color="auto" w:sz="4" w:space="0"/>
              <w:bottom w:val="single" w:color="auto" w:sz="4" w:space="0"/>
              <w:right w:val="single" w:color="auto" w:sz="4" w:space="0"/>
            </w:tcBorders>
            <w:vAlign w:val="center"/>
          </w:tcPr>
          <w:p w14:paraId="5AEC9658">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c>
          <w:tcPr>
            <w:tcW w:w="3772" w:type="dxa"/>
            <w:tcBorders>
              <w:top w:val="single" w:color="auto" w:sz="4" w:space="0"/>
              <w:left w:val="single" w:color="auto" w:sz="4" w:space="0"/>
              <w:bottom w:val="single" w:color="auto" w:sz="4" w:space="0"/>
              <w:right w:val="single" w:color="auto" w:sz="4" w:space="0"/>
            </w:tcBorders>
            <w:vAlign w:val="center"/>
          </w:tcPr>
          <w:p w14:paraId="64F376D0">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招标要求</w:t>
            </w:r>
          </w:p>
        </w:tc>
        <w:tc>
          <w:tcPr>
            <w:tcW w:w="1717" w:type="dxa"/>
            <w:tcBorders>
              <w:top w:val="single" w:color="auto" w:sz="4" w:space="0"/>
              <w:left w:val="single" w:color="auto" w:sz="4" w:space="0"/>
              <w:bottom w:val="single" w:color="auto" w:sz="4" w:space="0"/>
              <w:right w:val="single" w:color="auto" w:sz="4" w:space="0"/>
            </w:tcBorders>
            <w:vAlign w:val="center"/>
          </w:tcPr>
          <w:p w14:paraId="52831D05">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投标应答</w:t>
            </w:r>
          </w:p>
        </w:tc>
        <w:tc>
          <w:tcPr>
            <w:tcW w:w="1750" w:type="dxa"/>
            <w:tcBorders>
              <w:top w:val="single" w:color="auto" w:sz="4" w:space="0"/>
              <w:left w:val="single" w:color="auto" w:sz="4" w:space="0"/>
              <w:bottom w:val="single" w:color="auto" w:sz="4" w:space="0"/>
              <w:right w:val="single" w:color="auto" w:sz="4" w:space="0"/>
            </w:tcBorders>
            <w:vAlign w:val="center"/>
          </w:tcPr>
          <w:p w14:paraId="05278C12">
            <w:pPr>
              <w:spacing w:line="400" w:lineRule="exact"/>
              <w:jc w:val="center"/>
              <w:rPr>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正/负</w:t>
            </w:r>
            <w:r>
              <w:rPr>
                <w:rStyle w:val="334"/>
                <w:rFonts w:hint="eastAsia" w:ascii="宋体" w:hAnsi="宋体" w:eastAsia="宋体" w:cs="宋体"/>
                <w:bCs/>
                <w:color w:val="auto"/>
                <w:spacing w:val="8"/>
                <w:sz w:val="24"/>
                <w:szCs w:val="24"/>
                <w:highlight w:val="none"/>
              </w:rPr>
              <w:t>偏离</w:t>
            </w:r>
          </w:p>
        </w:tc>
      </w:tr>
      <w:tr w14:paraId="2A67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685038EE">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w:t>
            </w:r>
          </w:p>
        </w:tc>
        <w:tc>
          <w:tcPr>
            <w:tcW w:w="1208" w:type="dxa"/>
            <w:tcBorders>
              <w:top w:val="single" w:color="auto" w:sz="4" w:space="0"/>
              <w:left w:val="single" w:color="auto" w:sz="4" w:space="0"/>
              <w:bottom w:val="single" w:color="auto" w:sz="4" w:space="0"/>
              <w:right w:val="single" w:color="auto" w:sz="4" w:space="0"/>
            </w:tcBorders>
            <w:vAlign w:val="center"/>
          </w:tcPr>
          <w:p w14:paraId="2A6A8360">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交货期</w:t>
            </w:r>
          </w:p>
        </w:tc>
        <w:tc>
          <w:tcPr>
            <w:tcW w:w="3772" w:type="dxa"/>
            <w:tcBorders>
              <w:top w:val="single" w:color="auto" w:sz="4" w:space="0"/>
              <w:left w:val="single" w:color="auto" w:sz="4" w:space="0"/>
              <w:bottom w:val="single" w:color="auto" w:sz="4" w:space="0"/>
              <w:right w:val="single" w:color="auto" w:sz="4" w:space="0"/>
            </w:tcBorders>
            <w:vAlign w:val="center"/>
          </w:tcPr>
          <w:p w14:paraId="6E215759">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自合同签订之日起，4个月内达到交付状态</w:t>
            </w:r>
            <w:r>
              <w:rPr>
                <w:rFonts w:hint="eastAsia" w:ascii="宋体" w:hAnsi="宋体" w:eastAsia="宋体" w:cs="宋体"/>
                <w:color w:val="auto"/>
                <w:sz w:val="24"/>
                <w:szCs w:val="24"/>
                <w:highlight w:val="none"/>
              </w:rPr>
              <w:t>。</w:t>
            </w:r>
          </w:p>
        </w:tc>
        <w:tc>
          <w:tcPr>
            <w:tcW w:w="1717" w:type="dxa"/>
            <w:tcBorders>
              <w:top w:val="single" w:color="auto" w:sz="4" w:space="0"/>
              <w:left w:val="single" w:color="auto" w:sz="4" w:space="0"/>
              <w:bottom w:val="single" w:color="auto" w:sz="4" w:space="0"/>
              <w:right w:val="single" w:color="auto" w:sz="4" w:space="0"/>
            </w:tcBorders>
            <w:vAlign w:val="center"/>
          </w:tcPr>
          <w:p w14:paraId="7EDD178E">
            <w:pPr>
              <w:spacing w:line="400" w:lineRule="exact"/>
              <w:jc w:val="lef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07EEBB01">
            <w:pPr>
              <w:spacing w:line="400" w:lineRule="exact"/>
              <w:jc w:val="center"/>
              <w:rPr>
                <w:rFonts w:hint="eastAsia" w:ascii="宋体" w:hAnsi="宋体" w:eastAsia="宋体" w:cs="宋体"/>
                <w:color w:val="auto"/>
                <w:sz w:val="24"/>
                <w:szCs w:val="24"/>
                <w:highlight w:val="none"/>
              </w:rPr>
            </w:pPr>
          </w:p>
        </w:tc>
      </w:tr>
      <w:tr w14:paraId="5A76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2FBE33D2">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2</w:t>
            </w:r>
          </w:p>
        </w:tc>
        <w:tc>
          <w:tcPr>
            <w:tcW w:w="1208" w:type="dxa"/>
            <w:tcBorders>
              <w:top w:val="single" w:color="auto" w:sz="4" w:space="0"/>
              <w:left w:val="single" w:color="auto" w:sz="4" w:space="0"/>
              <w:bottom w:val="single" w:color="auto" w:sz="4" w:space="0"/>
              <w:right w:val="single" w:color="auto" w:sz="4" w:space="0"/>
            </w:tcBorders>
            <w:vAlign w:val="center"/>
          </w:tcPr>
          <w:p w14:paraId="276CCCAF">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3772" w:type="dxa"/>
            <w:tcBorders>
              <w:top w:val="single" w:color="auto" w:sz="4" w:space="0"/>
              <w:left w:val="single" w:color="auto" w:sz="4" w:space="0"/>
              <w:bottom w:val="single" w:color="auto" w:sz="4" w:space="0"/>
              <w:right w:val="single" w:color="auto" w:sz="4" w:space="0"/>
            </w:tcBorders>
            <w:vAlign w:val="center"/>
          </w:tcPr>
          <w:p w14:paraId="23273DAC">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四川省绵阳市四川九洲空管科技有限责任公司</w:t>
            </w:r>
          </w:p>
        </w:tc>
        <w:tc>
          <w:tcPr>
            <w:tcW w:w="1717" w:type="dxa"/>
            <w:tcBorders>
              <w:top w:val="single" w:color="auto" w:sz="4" w:space="0"/>
              <w:left w:val="single" w:color="auto" w:sz="4" w:space="0"/>
              <w:bottom w:val="single" w:color="auto" w:sz="4" w:space="0"/>
              <w:right w:val="single" w:color="auto" w:sz="4" w:space="0"/>
            </w:tcBorders>
            <w:vAlign w:val="center"/>
          </w:tcPr>
          <w:p w14:paraId="653B2AE3">
            <w:pPr>
              <w:spacing w:line="400" w:lineRule="exact"/>
              <w:jc w:val="lef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2E8BD1F7">
            <w:pPr>
              <w:spacing w:line="400" w:lineRule="exact"/>
              <w:jc w:val="center"/>
              <w:rPr>
                <w:rFonts w:hint="eastAsia" w:ascii="宋体" w:hAnsi="宋体" w:eastAsia="宋体" w:cs="宋体"/>
                <w:color w:val="auto"/>
                <w:sz w:val="24"/>
                <w:szCs w:val="24"/>
                <w:highlight w:val="none"/>
              </w:rPr>
            </w:pPr>
          </w:p>
        </w:tc>
      </w:tr>
      <w:tr w14:paraId="1F7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851" w:type="dxa"/>
            <w:tcBorders>
              <w:top w:val="single" w:color="auto" w:sz="4" w:space="0"/>
              <w:left w:val="single" w:color="auto" w:sz="4" w:space="0"/>
              <w:bottom w:val="single" w:color="auto" w:sz="4" w:space="0"/>
              <w:right w:val="single" w:color="auto" w:sz="4" w:space="0"/>
            </w:tcBorders>
            <w:vAlign w:val="center"/>
          </w:tcPr>
          <w:p w14:paraId="2C0EFD19">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3</w:t>
            </w:r>
          </w:p>
        </w:tc>
        <w:tc>
          <w:tcPr>
            <w:tcW w:w="1208" w:type="dxa"/>
            <w:tcBorders>
              <w:top w:val="single" w:color="auto" w:sz="4" w:space="0"/>
              <w:left w:val="single" w:color="auto" w:sz="4" w:space="0"/>
              <w:bottom w:val="single" w:color="auto" w:sz="4" w:space="0"/>
              <w:right w:val="single" w:color="auto" w:sz="4" w:space="0"/>
            </w:tcBorders>
            <w:vAlign w:val="center"/>
          </w:tcPr>
          <w:p w14:paraId="144F0C41">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3772" w:type="dxa"/>
            <w:tcBorders>
              <w:top w:val="single" w:color="auto" w:sz="4" w:space="0"/>
              <w:left w:val="single" w:color="auto" w:sz="4" w:space="0"/>
              <w:bottom w:val="single" w:color="auto" w:sz="4" w:space="0"/>
              <w:right w:val="single" w:color="auto" w:sz="4" w:space="0"/>
            </w:tcBorders>
            <w:vAlign w:val="center"/>
          </w:tcPr>
          <w:p w14:paraId="5146F330">
            <w:pPr>
              <w:adjustRightInd w:val="0"/>
              <w:snapToGrid w:val="0"/>
              <w:spacing w:line="300" w:lineRule="auto"/>
              <w:ind w:firstLine="480" w:firstLineChars="200"/>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.合同签订生效后，三十个工作日内支付供方合同款的30%</w:t>
            </w:r>
            <w:r>
              <w:rPr>
                <w:rFonts w:hint="eastAsia" w:ascii="宋体" w:hAnsi="宋体" w:eastAsia="宋体" w:cs="宋体"/>
                <w:color w:val="auto"/>
                <w:kern w:val="0"/>
                <w:sz w:val="24"/>
                <w:szCs w:val="24"/>
                <w:highlight w:val="none"/>
                <w:lang w:eastAsia="zh-CN" w:bidi="ar"/>
              </w:rPr>
              <w:t>。</w:t>
            </w:r>
          </w:p>
          <w:p w14:paraId="06E98889">
            <w:pPr>
              <w:adjustRightInd w:val="0"/>
              <w:snapToGrid w:val="0"/>
              <w:spacing w:line="300" w:lineRule="auto"/>
              <w:ind w:firstLine="480" w:firstLineChars="200"/>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bidi="ar"/>
              </w:rPr>
              <w:t>.供方在合同约定时间内将产品交付需方，需方在产品安装调试完毕并验收合格且收到供方开具的全额增值税专用发票后三十个工作日内支付供方合同款的30%</w:t>
            </w:r>
            <w:r>
              <w:rPr>
                <w:rFonts w:hint="eastAsia" w:ascii="宋体" w:hAnsi="宋体" w:eastAsia="宋体" w:cs="宋体"/>
                <w:color w:val="auto"/>
                <w:kern w:val="0"/>
                <w:sz w:val="24"/>
                <w:szCs w:val="24"/>
                <w:highlight w:val="none"/>
                <w:lang w:eastAsia="zh-CN" w:bidi="ar"/>
              </w:rPr>
              <w:t>。</w:t>
            </w:r>
          </w:p>
          <w:p w14:paraId="64EA31A5">
            <w:pPr>
              <w:adjustRightInd w:val="0"/>
              <w:snapToGrid w:val="0"/>
              <w:spacing w:line="300" w:lineRule="auto"/>
              <w:ind w:firstLine="480" w:firstLineChars="200"/>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bidi="ar"/>
              </w:rPr>
              <w:t>.验收合格后试运行六个月，三十个工作日内支付供方合同款的30%</w:t>
            </w:r>
            <w:r>
              <w:rPr>
                <w:rFonts w:hint="eastAsia" w:ascii="宋体" w:hAnsi="宋体" w:eastAsia="宋体" w:cs="宋体"/>
                <w:color w:val="auto"/>
                <w:kern w:val="0"/>
                <w:sz w:val="24"/>
                <w:szCs w:val="24"/>
                <w:highlight w:val="none"/>
                <w:lang w:eastAsia="zh-CN" w:bidi="ar"/>
              </w:rPr>
              <w:t>。</w:t>
            </w:r>
          </w:p>
          <w:p w14:paraId="3A975787">
            <w:pPr>
              <w:adjustRightInd w:val="0"/>
              <w:snapToGrid w:val="0"/>
              <w:spacing w:line="30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bidi="ar"/>
              </w:rPr>
              <w:t>.剩余合同尾款作为供方履行售后维保的质保金，产品无质量问题或质量瑕疵，自收到供方全额增值税专用发票之日起12个月后支付供方合同尾款</w:t>
            </w:r>
            <w:r>
              <w:rPr>
                <w:rFonts w:hint="eastAsia" w:ascii="宋体" w:hAnsi="宋体" w:eastAsia="宋体" w:cs="宋体"/>
                <w:color w:val="auto"/>
                <w:kern w:val="0"/>
                <w:sz w:val="24"/>
                <w:szCs w:val="24"/>
                <w:highlight w:val="none"/>
                <w:lang w:eastAsia="zh-CN" w:bidi="ar"/>
              </w:rPr>
              <w:t>。</w:t>
            </w:r>
          </w:p>
        </w:tc>
        <w:tc>
          <w:tcPr>
            <w:tcW w:w="1717" w:type="dxa"/>
            <w:tcBorders>
              <w:top w:val="single" w:color="auto" w:sz="4" w:space="0"/>
              <w:left w:val="single" w:color="auto" w:sz="4" w:space="0"/>
              <w:bottom w:val="single" w:color="auto" w:sz="4" w:space="0"/>
              <w:right w:val="single" w:color="auto" w:sz="4" w:space="0"/>
            </w:tcBorders>
            <w:vAlign w:val="center"/>
          </w:tcPr>
          <w:p w14:paraId="41BBE90D">
            <w:pPr>
              <w:spacing w:line="400" w:lineRule="exact"/>
              <w:jc w:val="lef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41CBF344">
            <w:pPr>
              <w:spacing w:line="400" w:lineRule="exact"/>
              <w:jc w:val="center"/>
              <w:rPr>
                <w:rFonts w:hint="eastAsia" w:ascii="宋体" w:hAnsi="宋体" w:eastAsia="宋体" w:cs="宋体"/>
                <w:color w:val="auto"/>
                <w:sz w:val="24"/>
                <w:szCs w:val="24"/>
                <w:highlight w:val="none"/>
              </w:rPr>
            </w:pPr>
          </w:p>
        </w:tc>
      </w:tr>
      <w:tr w14:paraId="20C4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851" w:type="dxa"/>
            <w:tcBorders>
              <w:top w:val="single" w:color="auto" w:sz="4" w:space="0"/>
              <w:left w:val="single" w:color="auto" w:sz="4" w:space="0"/>
              <w:bottom w:val="single" w:color="auto" w:sz="4" w:space="0"/>
              <w:right w:val="single" w:color="auto" w:sz="4" w:space="0"/>
            </w:tcBorders>
            <w:vAlign w:val="center"/>
          </w:tcPr>
          <w:p w14:paraId="55388B6E">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w:t>
            </w:r>
          </w:p>
        </w:tc>
        <w:tc>
          <w:tcPr>
            <w:tcW w:w="1208" w:type="dxa"/>
            <w:tcBorders>
              <w:top w:val="single" w:color="auto" w:sz="4" w:space="0"/>
              <w:left w:val="single" w:color="auto" w:sz="4" w:space="0"/>
              <w:bottom w:val="single" w:color="auto" w:sz="4" w:space="0"/>
              <w:right w:val="single" w:color="auto" w:sz="4" w:space="0"/>
            </w:tcBorders>
            <w:vAlign w:val="center"/>
          </w:tcPr>
          <w:p w14:paraId="6A5FCC04">
            <w:pPr>
              <w:spacing w:line="400" w:lineRule="exact"/>
              <w:jc w:val="center"/>
              <w:rPr>
                <w:rFonts w:hint="eastAsia" w:ascii="宋体" w:hAnsi="宋体" w:eastAsia="宋体" w:cs="宋体"/>
                <w:color w:val="auto"/>
                <w:sz w:val="24"/>
                <w:szCs w:val="24"/>
                <w:highlight w:val="none"/>
                <w:lang w:val="zh-CN"/>
              </w:rPr>
            </w:pPr>
            <w:r>
              <w:rPr>
                <w:rFonts w:hint="eastAsia" w:ascii="宋体" w:hAnsi="宋体" w:eastAsia="宋体" w:cs="宋体"/>
                <w:bCs/>
                <w:color w:val="auto"/>
                <w:sz w:val="24"/>
                <w:szCs w:val="24"/>
                <w:highlight w:val="none"/>
              </w:rPr>
              <w:t>质量保证</w:t>
            </w:r>
          </w:p>
        </w:tc>
        <w:tc>
          <w:tcPr>
            <w:tcW w:w="3772" w:type="dxa"/>
            <w:tcBorders>
              <w:top w:val="single" w:color="auto" w:sz="4" w:space="0"/>
              <w:left w:val="single" w:color="auto" w:sz="4" w:space="0"/>
              <w:bottom w:val="single" w:color="auto" w:sz="4" w:space="0"/>
              <w:right w:val="single" w:color="auto" w:sz="4" w:space="0"/>
            </w:tcBorders>
            <w:vAlign w:val="center"/>
          </w:tcPr>
          <w:p w14:paraId="688FD631">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质量保证要求如下：</w:t>
            </w:r>
          </w:p>
          <w:p w14:paraId="0D4B6F79">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a)投标方确保提供的产品能够满足招标方的功能使用需求，交付产品与技术要求文件产品的型号、规格、数量一致。若有配件少项等情况，由投标方免费提供；</w:t>
            </w:r>
          </w:p>
          <w:p w14:paraId="25CFCC44">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b)投标方确保安装的软件为当前最新版本，且软件版本受控，纳入投标方配置管理；</w:t>
            </w:r>
          </w:p>
          <w:p w14:paraId="284EDF27">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c)投标方保证招标为本项目开发涉及的设计、开发、安装的软件为合法、正版的原厂软件，并提供使用软件的正版承诺书；</w:t>
            </w:r>
          </w:p>
          <w:p w14:paraId="03703391">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d)投标方应证明本项目所使用的知识产权符合法律、法规规定，不侵犯任何第三方的知识产权，并提供不侵权承诺书；</w:t>
            </w:r>
          </w:p>
          <w:p w14:paraId="2DD313A4">
            <w:pPr>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e)投标方负责软件的安装、调试，达到规定的技术指标和功能要求，并正常工作。</w:t>
            </w:r>
          </w:p>
        </w:tc>
        <w:tc>
          <w:tcPr>
            <w:tcW w:w="1717" w:type="dxa"/>
            <w:tcBorders>
              <w:top w:val="single" w:color="auto" w:sz="4" w:space="0"/>
              <w:left w:val="single" w:color="auto" w:sz="4" w:space="0"/>
              <w:bottom w:val="single" w:color="auto" w:sz="4" w:space="0"/>
              <w:right w:val="single" w:color="auto" w:sz="4" w:space="0"/>
            </w:tcBorders>
            <w:vAlign w:val="center"/>
          </w:tcPr>
          <w:p w14:paraId="255D883C">
            <w:pPr>
              <w:spacing w:line="400" w:lineRule="exact"/>
              <w:jc w:val="lef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0F395803">
            <w:pPr>
              <w:spacing w:line="400" w:lineRule="exact"/>
              <w:jc w:val="center"/>
              <w:rPr>
                <w:rFonts w:hint="eastAsia" w:ascii="宋体" w:hAnsi="宋体" w:eastAsia="宋体" w:cs="宋体"/>
                <w:color w:val="auto"/>
                <w:sz w:val="24"/>
                <w:szCs w:val="24"/>
                <w:highlight w:val="none"/>
              </w:rPr>
            </w:pPr>
          </w:p>
        </w:tc>
      </w:tr>
    </w:tbl>
    <w:p w14:paraId="69388238">
      <w:pPr>
        <w:spacing w:line="240" w:lineRule="atLeast"/>
        <w:jc w:val="center"/>
        <w:rPr>
          <w:rFonts w:hint="eastAsia" w:ascii="宋体" w:hAnsi="宋体" w:eastAsia="宋体" w:cs="宋体"/>
          <w:bCs/>
          <w:color w:val="auto"/>
          <w:spacing w:val="8"/>
          <w:sz w:val="28"/>
          <w:szCs w:val="28"/>
          <w:highlight w:val="none"/>
        </w:rPr>
      </w:pPr>
    </w:p>
    <w:p w14:paraId="27076DAB">
      <w:pPr>
        <w:adjustRightInd w:val="0"/>
        <w:spacing w:line="360" w:lineRule="auto"/>
        <w:ind w:firstLine="256" w:firstLineChars="1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注：</w:t>
      </w:r>
    </w:p>
    <w:p w14:paraId="7BE91C90">
      <w:pPr>
        <w:adjustRightInd w:val="0"/>
        <w:spacing w:line="360" w:lineRule="auto"/>
        <w:ind w:firstLine="257" w:firstLineChars="100"/>
        <w:rPr>
          <w:rFonts w:hint="eastAsia" w:ascii="宋体" w:hAnsi="宋体" w:eastAsia="宋体" w:cs="宋体"/>
          <w:bCs/>
          <w:color w:val="auto"/>
          <w:spacing w:val="8"/>
          <w:sz w:val="24"/>
          <w:szCs w:val="24"/>
          <w:highlight w:val="none"/>
          <w:lang w:val="en-US" w:eastAsia="zh-CN"/>
        </w:rPr>
      </w:pPr>
      <w:r>
        <w:rPr>
          <w:rFonts w:hint="eastAsia" w:ascii="宋体" w:hAnsi="宋体" w:eastAsia="宋体" w:cs="宋体"/>
          <w:b/>
          <w:bCs w:val="0"/>
          <w:color w:val="auto"/>
          <w:spacing w:val="8"/>
          <w:sz w:val="24"/>
          <w:szCs w:val="24"/>
          <w:highlight w:val="none"/>
          <w:lang w:val="en-US" w:eastAsia="zh-CN"/>
        </w:rPr>
        <w:t>1.以上内容不允许负偏离，否则将作废标处理。</w:t>
      </w:r>
    </w:p>
    <w:p w14:paraId="27E23D48">
      <w:pPr>
        <w:adjustRightInd w:val="0"/>
        <w:spacing w:line="360" w:lineRule="auto"/>
        <w:ind w:firstLine="256" w:firstLineChars="1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lang w:val="en-US" w:eastAsia="zh-CN"/>
        </w:rPr>
        <w:t>2.</w:t>
      </w:r>
      <w:r>
        <w:rPr>
          <w:rFonts w:hint="eastAsia" w:ascii="宋体" w:hAnsi="宋体" w:eastAsia="宋体" w:cs="宋体"/>
          <w:bCs/>
          <w:color w:val="auto"/>
          <w:spacing w:val="8"/>
          <w:sz w:val="24"/>
          <w:szCs w:val="24"/>
          <w:highlight w:val="none"/>
        </w:rPr>
        <w:t>投标人必须据实填写（备注中可注明是否响应，也可注明正、负或无偏离），不得虚假响应，否则将取消其投标或中标资格，并按有关规定进行处罚。</w:t>
      </w:r>
    </w:p>
    <w:p w14:paraId="2A9B8673">
      <w:pPr>
        <w:pStyle w:val="17"/>
        <w:rPr>
          <w:rFonts w:hint="eastAsia" w:ascii="宋体" w:hAnsi="宋体" w:eastAsia="宋体" w:cs="宋体"/>
          <w:color w:val="auto"/>
          <w:sz w:val="24"/>
          <w:szCs w:val="24"/>
          <w:highlight w:val="none"/>
        </w:rPr>
      </w:pPr>
    </w:p>
    <w:p w14:paraId="2D9A207E">
      <w:pPr>
        <w:adjustRightInd w:val="0"/>
        <w:spacing w:line="360" w:lineRule="auto"/>
        <w:ind w:firstLine="512" w:firstLineChars="200"/>
        <w:rPr>
          <w:rFonts w:hint="eastAsia" w:ascii="宋体" w:hAnsi="宋体" w:eastAsia="宋体" w:cs="宋体"/>
          <w:bCs/>
          <w:color w:val="auto"/>
          <w:spacing w:val="8"/>
          <w:sz w:val="24"/>
          <w:szCs w:val="24"/>
          <w:highlight w:val="none"/>
        </w:rPr>
      </w:pPr>
    </w:p>
    <w:p w14:paraId="71E2247C">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10DC5C12">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3732C43">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4BAF7A9">
      <w:pPr>
        <w:pStyle w:val="17"/>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附件16：技术响应表</w:t>
      </w:r>
    </w:p>
    <w:p w14:paraId="27524D2F">
      <w:pPr>
        <w:spacing w:line="240" w:lineRule="atLeast"/>
        <w:jc w:val="center"/>
        <w:rPr>
          <w:rFonts w:hint="eastAsia" w:ascii="宋体" w:hAnsi="宋体" w:eastAsia="宋体" w:cs="宋体"/>
          <w:b/>
          <w:bCs/>
          <w:color w:val="auto"/>
          <w:spacing w:val="8"/>
          <w:sz w:val="28"/>
          <w:szCs w:val="28"/>
          <w:highlight w:val="none"/>
        </w:rPr>
      </w:pPr>
      <w:r>
        <w:rPr>
          <w:rFonts w:hint="eastAsia" w:ascii="宋体" w:hAnsi="宋体" w:eastAsia="宋体" w:cs="宋体"/>
          <w:b/>
          <w:bCs/>
          <w:color w:val="auto"/>
          <w:spacing w:val="8"/>
          <w:sz w:val="28"/>
          <w:szCs w:val="28"/>
          <w:highlight w:val="none"/>
        </w:rPr>
        <w:t>技术响应表</w:t>
      </w:r>
    </w:p>
    <w:tbl>
      <w:tblPr>
        <w:tblStyle w:val="47"/>
        <w:tblW w:w="893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1"/>
        <w:gridCol w:w="2640"/>
        <w:gridCol w:w="2664"/>
        <w:gridCol w:w="1729"/>
        <w:gridCol w:w="1284"/>
      </w:tblGrid>
      <w:tr w14:paraId="426F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vAlign w:val="center"/>
          </w:tcPr>
          <w:p w14:paraId="6F73E0F1">
            <w:pPr>
              <w:snapToGrid w:val="0"/>
              <w:spacing w:line="400" w:lineRule="exact"/>
              <w:jc w:val="center"/>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序号</w:t>
            </w:r>
          </w:p>
        </w:tc>
        <w:tc>
          <w:tcPr>
            <w:tcW w:w="2640" w:type="dxa"/>
            <w:tcBorders>
              <w:top w:val="single" w:color="000000" w:sz="4" w:space="0"/>
              <w:left w:val="single" w:color="000000" w:sz="4" w:space="0"/>
              <w:bottom w:val="single" w:color="000000" w:sz="4" w:space="0"/>
              <w:right w:val="single" w:color="000000" w:sz="4" w:space="0"/>
            </w:tcBorders>
            <w:vAlign w:val="center"/>
          </w:tcPr>
          <w:p w14:paraId="629DDDB1">
            <w:pPr>
              <w:snapToGrid w:val="0"/>
              <w:spacing w:line="400" w:lineRule="exact"/>
              <w:jc w:val="center"/>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招标文件要求</w:t>
            </w:r>
          </w:p>
        </w:tc>
        <w:tc>
          <w:tcPr>
            <w:tcW w:w="2664" w:type="dxa"/>
            <w:tcBorders>
              <w:top w:val="single" w:color="000000" w:sz="4" w:space="0"/>
              <w:left w:val="single" w:color="000000" w:sz="4" w:space="0"/>
              <w:bottom w:val="single" w:color="000000" w:sz="4" w:space="0"/>
              <w:right w:val="single" w:color="000000" w:sz="4" w:space="0"/>
            </w:tcBorders>
            <w:vAlign w:val="center"/>
          </w:tcPr>
          <w:p w14:paraId="0F942D2E">
            <w:pPr>
              <w:snapToGrid w:val="0"/>
              <w:spacing w:line="400" w:lineRule="exact"/>
              <w:jc w:val="center"/>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投标响应</w:t>
            </w:r>
          </w:p>
        </w:tc>
        <w:tc>
          <w:tcPr>
            <w:tcW w:w="1729" w:type="dxa"/>
            <w:tcBorders>
              <w:top w:val="single" w:color="000000" w:sz="4" w:space="0"/>
              <w:left w:val="single" w:color="000000" w:sz="4" w:space="0"/>
              <w:bottom w:val="single" w:color="000000" w:sz="4" w:space="0"/>
              <w:right w:val="single" w:color="000000" w:sz="4" w:space="0"/>
            </w:tcBorders>
            <w:vAlign w:val="center"/>
          </w:tcPr>
          <w:p w14:paraId="18C7880F">
            <w:pPr>
              <w:snapToGrid w:val="0"/>
              <w:spacing w:line="400" w:lineRule="exact"/>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正/负</w:t>
            </w:r>
            <w:r>
              <w:rPr>
                <w:rStyle w:val="334"/>
                <w:rFonts w:hint="eastAsia" w:ascii="宋体" w:hAnsi="宋体" w:eastAsia="宋体" w:cs="宋体"/>
                <w:bCs/>
                <w:color w:val="auto"/>
                <w:spacing w:val="8"/>
                <w:sz w:val="24"/>
                <w:szCs w:val="24"/>
                <w:highlight w:val="none"/>
              </w:rPr>
              <w:t>偏离</w:t>
            </w:r>
          </w:p>
        </w:tc>
        <w:tc>
          <w:tcPr>
            <w:tcW w:w="1284" w:type="dxa"/>
            <w:tcBorders>
              <w:top w:val="single" w:color="000000" w:sz="4" w:space="0"/>
              <w:left w:val="single" w:color="000000" w:sz="4" w:space="0"/>
              <w:bottom w:val="single" w:color="000000" w:sz="4" w:space="0"/>
              <w:right w:val="single" w:color="000000" w:sz="4" w:space="0"/>
            </w:tcBorders>
            <w:vAlign w:val="center"/>
          </w:tcPr>
          <w:p w14:paraId="3AE82492">
            <w:pPr>
              <w:snapToGrid w:val="0"/>
              <w:spacing w:line="400" w:lineRule="exact"/>
              <w:ind w:firstLine="240" w:firstLineChars="100"/>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备注</w:t>
            </w:r>
          </w:p>
        </w:tc>
      </w:tr>
      <w:tr w14:paraId="0BC9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C0B38F">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2413732C">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7A8D06DB">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3880AD4">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30B8AB4B">
            <w:pPr>
              <w:snapToGrid w:val="0"/>
              <w:spacing w:line="400" w:lineRule="exact"/>
              <w:textAlignment w:val="baseline"/>
              <w:rPr>
                <w:rStyle w:val="334"/>
                <w:rFonts w:hint="eastAsia" w:ascii="宋体" w:hAnsi="宋体" w:eastAsia="宋体" w:cs="宋体"/>
                <w:color w:val="auto"/>
                <w:sz w:val="24"/>
                <w:szCs w:val="24"/>
                <w:highlight w:val="none"/>
              </w:rPr>
            </w:pPr>
          </w:p>
        </w:tc>
      </w:tr>
      <w:tr w14:paraId="663CA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184C1E">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53172AC0">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3CB8CC99">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A3C3AC9">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74403342">
            <w:pPr>
              <w:snapToGrid w:val="0"/>
              <w:spacing w:line="400" w:lineRule="exact"/>
              <w:textAlignment w:val="baseline"/>
              <w:rPr>
                <w:rStyle w:val="334"/>
                <w:rFonts w:hint="eastAsia" w:ascii="宋体" w:hAnsi="宋体" w:eastAsia="宋体" w:cs="宋体"/>
                <w:color w:val="auto"/>
                <w:sz w:val="24"/>
                <w:szCs w:val="24"/>
                <w:highlight w:val="none"/>
              </w:rPr>
            </w:pPr>
          </w:p>
        </w:tc>
      </w:tr>
      <w:tr w14:paraId="7B7A2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6670B2DC">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355EDD5F">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7F53CABB">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9E4277A">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789066D3">
            <w:pPr>
              <w:snapToGrid w:val="0"/>
              <w:spacing w:line="400" w:lineRule="exact"/>
              <w:textAlignment w:val="baseline"/>
              <w:rPr>
                <w:rStyle w:val="334"/>
                <w:rFonts w:hint="eastAsia" w:ascii="宋体" w:hAnsi="宋体" w:eastAsia="宋体" w:cs="宋体"/>
                <w:color w:val="auto"/>
                <w:sz w:val="24"/>
                <w:szCs w:val="24"/>
                <w:highlight w:val="none"/>
              </w:rPr>
            </w:pPr>
          </w:p>
        </w:tc>
      </w:tr>
      <w:tr w14:paraId="1483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21" w:type="dxa"/>
            <w:tcBorders>
              <w:top w:val="single" w:color="000000" w:sz="4" w:space="0"/>
              <w:left w:val="single" w:color="000000" w:sz="4" w:space="0"/>
              <w:bottom w:val="single" w:color="000000" w:sz="4" w:space="0"/>
              <w:right w:val="single" w:color="000000" w:sz="4" w:space="0"/>
            </w:tcBorders>
          </w:tcPr>
          <w:p w14:paraId="62B899C0">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3AF14039">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3A73557C">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49FD78F5">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3688A1EF">
            <w:pPr>
              <w:snapToGrid w:val="0"/>
              <w:spacing w:line="400" w:lineRule="exact"/>
              <w:textAlignment w:val="baseline"/>
              <w:rPr>
                <w:rStyle w:val="334"/>
                <w:rFonts w:hint="eastAsia" w:ascii="宋体" w:hAnsi="宋体" w:eastAsia="宋体" w:cs="宋体"/>
                <w:color w:val="auto"/>
                <w:sz w:val="24"/>
                <w:szCs w:val="24"/>
                <w:highlight w:val="none"/>
              </w:rPr>
            </w:pPr>
          </w:p>
        </w:tc>
      </w:tr>
    </w:tbl>
    <w:p w14:paraId="58D4EAFE">
      <w:pPr>
        <w:snapToGrid w:val="0"/>
        <w:spacing w:line="480" w:lineRule="exact"/>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此表可延长</w:t>
      </w:r>
    </w:p>
    <w:p w14:paraId="4BA66A18">
      <w:pPr>
        <w:snapToGrid w:val="0"/>
        <w:spacing w:line="480" w:lineRule="exact"/>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注：</w:t>
      </w:r>
    </w:p>
    <w:p w14:paraId="1035025A">
      <w:pPr>
        <w:snapToGrid w:val="0"/>
        <w:spacing w:line="480" w:lineRule="exact"/>
        <w:ind w:firstLine="512" w:firstLineChars="200"/>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1.投标人按照招标文件“第五章技术标准和要求”要求做出的技术应答，可只填写投标文件中与招标文件要求有偏离（包括正偏离和负偏离）的内容，投标文件中应答内容与招标文件要求完全一致（无偏离）的，可不用在此表中列出，视为投标人接受和响应技术要求（注2除外）。</w:t>
      </w:r>
    </w:p>
    <w:p w14:paraId="25CF8873">
      <w:pPr>
        <w:snapToGrid w:val="0"/>
        <w:spacing w:line="480" w:lineRule="exact"/>
        <w:ind w:firstLine="512" w:firstLineChars="200"/>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2、招标文件第五章要求在提交投标文件时提供相关证明资料或相关材料的，投标人应当在投标文件中提供，否则视为未响应招标要求（负偏离）。</w:t>
      </w:r>
    </w:p>
    <w:p w14:paraId="5D213F44">
      <w:pPr>
        <w:snapToGrid w:val="0"/>
        <w:spacing w:line="480" w:lineRule="exact"/>
        <w:ind w:firstLine="512" w:firstLineChars="200"/>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3.投标人必须据实填写，不得虚假响应，否则将取消其投标或中标资格，并按有关规定进行处罚。</w:t>
      </w:r>
    </w:p>
    <w:p w14:paraId="59FE52E7">
      <w:pPr>
        <w:pStyle w:val="17"/>
        <w:rPr>
          <w:rFonts w:hint="eastAsia" w:ascii="宋体" w:hAnsi="宋体" w:eastAsia="宋体" w:cs="宋体"/>
          <w:color w:val="auto"/>
          <w:highlight w:val="none"/>
        </w:rPr>
      </w:pPr>
    </w:p>
    <w:p w14:paraId="2AF2DC59">
      <w:pPr>
        <w:adjustRightInd w:val="0"/>
        <w:spacing w:line="360" w:lineRule="auto"/>
        <w:ind w:firstLine="592" w:firstLineChars="200"/>
        <w:rPr>
          <w:rFonts w:hint="eastAsia" w:ascii="宋体" w:hAnsi="宋体" w:eastAsia="宋体" w:cs="宋体"/>
          <w:bCs/>
          <w:color w:val="auto"/>
          <w:spacing w:val="8"/>
          <w:sz w:val="28"/>
          <w:szCs w:val="28"/>
          <w:highlight w:val="none"/>
        </w:rPr>
      </w:pPr>
    </w:p>
    <w:p w14:paraId="686E9083">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99607A0">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36CF1415">
      <w:pPr>
        <w:adjustRightInd w:val="0"/>
        <w:spacing w:line="360" w:lineRule="auto"/>
        <w:ind w:firstLine="480" w:firstLineChars="200"/>
        <w:rPr>
          <w:rFonts w:hint="eastAsia"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投标日期：      年      月     日</w:t>
      </w:r>
    </w:p>
    <w:p w14:paraId="1C33744C">
      <w:pPr>
        <w:pStyle w:val="17"/>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附件17：投标人基本情况表</w:t>
      </w:r>
    </w:p>
    <w:p w14:paraId="74DA21E6">
      <w:pPr>
        <w:keepNext/>
        <w:keepLines/>
        <w:spacing w:before="260" w:after="260" w:line="412" w:lineRule="auto"/>
        <w:jc w:val="center"/>
        <w:rPr>
          <w:rFonts w:hint="eastAsia" w:ascii="宋体" w:hAnsi="宋体" w:eastAsia="宋体" w:cs="宋体"/>
          <w:color w:val="auto"/>
          <w:sz w:val="24"/>
          <w:highlight w:val="none"/>
        </w:rPr>
      </w:pPr>
      <w:r>
        <w:rPr>
          <w:rFonts w:hint="eastAsia" w:ascii="宋体" w:hAnsi="宋体" w:eastAsia="宋体" w:cs="宋体"/>
          <w:b/>
          <w:bCs/>
          <w:color w:val="auto"/>
          <w:sz w:val="28"/>
          <w:szCs w:val="28"/>
          <w:highlight w:val="none"/>
        </w:rPr>
        <w:t>投标人基本情况表</w:t>
      </w:r>
    </w:p>
    <w:tbl>
      <w:tblPr>
        <w:tblStyle w:val="47"/>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51D522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6B1BF1A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1FE969EF">
            <w:pPr>
              <w:autoSpaceDE w:val="0"/>
              <w:autoSpaceDN w:val="0"/>
              <w:adjustRightInd w:val="0"/>
              <w:spacing w:line="400" w:lineRule="exact"/>
              <w:jc w:val="center"/>
              <w:rPr>
                <w:rFonts w:hint="eastAsia" w:ascii="宋体" w:hAnsi="宋体" w:eastAsia="宋体" w:cs="宋体"/>
                <w:color w:val="auto"/>
                <w:kern w:val="0"/>
                <w:highlight w:val="none"/>
              </w:rPr>
            </w:pPr>
          </w:p>
        </w:tc>
      </w:tr>
      <w:tr w14:paraId="2198B3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6D0C160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2918C821">
            <w:pPr>
              <w:autoSpaceDE w:val="0"/>
              <w:autoSpaceDN w:val="0"/>
              <w:adjustRightInd w:val="0"/>
              <w:spacing w:line="400" w:lineRule="exact"/>
              <w:jc w:val="center"/>
              <w:rPr>
                <w:rFonts w:hint="eastAsia" w:ascii="宋体" w:hAnsi="宋体" w:eastAsia="宋体" w:cs="宋体"/>
                <w:color w:val="auto"/>
                <w:kern w:val="0"/>
                <w:highlight w:val="none"/>
              </w:rPr>
            </w:pPr>
          </w:p>
        </w:tc>
        <w:tc>
          <w:tcPr>
            <w:tcW w:w="1331" w:type="dxa"/>
            <w:tcBorders>
              <w:top w:val="single" w:color="auto" w:sz="6" w:space="0"/>
              <w:left w:val="single" w:color="auto" w:sz="6" w:space="0"/>
              <w:bottom w:val="single" w:color="auto" w:sz="6" w:space="0"/>
              <w:right w:val="single" w:color="auto" w:sz="6" w:space="0"/>
            </w:tcBorders>
            <w:vAlign w:val="center"/>
          </w:tcPr>
          <w:p w14:paraId="64A884E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09F4FE8">
            <w:pPr>
              <w:autoSpaceDE w:val="0"/>
              <w:autoSpaceDN w:val="0"/>
              <w:adjustRightInd w:val="0"/>
              <w:spacing w:line="400" w:lineRule="exact"/>
              <w:jc w:val="center"/>
              <w:rPr>
                <w:rFonts w:hint="eastAsia" w:ascii="宋体" w:hAnsi="宋体" w:eastAsia="宋体" w:cs="宋体"/>
                <w:color w:val="auto"/>
                <w:kern w:val="0"/>
                <w:highlight w:val="none"/>
              </w:rPr>
            </w:pPr>
          </w:p>
        </w:tc>
      </w:tr>
      <w:tr w14:paraId="4FA818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E464112">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4BAEA01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3362DC07">
            <w:pPr>
              <w:autoSpaceDE w:val="0"/>
              <w:autoSpaceDN w:val="0"/>
              <w:adjustRightInd w:val="0"/>
              <w:spacing w:line="400" w:lineRule="exact"/>
              <w:jc w:val="center"/>
              <w:rPr>
                <w:rFonts w:hint="eastAsia" w:ascii="宋体" w:hAns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60123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D23D52E">
            <w:pPr>
              <w:autoSpaceDE w:val="0"/>
              <w:autoSpaceDN w:val="0"/>
              <w:adjustRightInd w:val="0"/>
              <w:spacing w:line="400" w:lineRule="exact"/>
              <w:jc w:val="center"/>
              <w:rPr>
                <w:rFonts w:hint="eastAsia" w:ascii="宋体" w:hAnsi="宋体" w:eastAsia="宋体" w:cs="宋体"/>
                <w:color w:val="auto"/>
                <w:kern w:val="0"/>
                <w:highlight w:val="none"/>
              </w:rPr>
            </w:pPr>
          </w:p>
        </w:tc>
      </w:tr>
      <w:tr w14:paraId="55E37E3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78A1E30A">
            <w:pPr>
              <w:widowControl/>
              <w:jc w:val="left"/>
              <w:rPr>
                <w:rFonts w:hint="eastAsia" w:ascii="宋体" w:hAnsi="宋体" w:eastAsia="宋体" w:cs="宋体"/>
                <w:color w:val="auto"/>
                <w:kern w:val="0"/>
                <w:highlight w:val="none"/>
              </w:rPr>
            </w:pPr>
          </w:p>
        </w:tc>
        <w:tc>
          <w:tcPr>
            <w:tcW w:w="971" w:type="dxa"/>
            <w:tcBorders>
              <w:top w:val="single" w:color="auto" w:sz="6" w:space="0"/>
              <w:left w:val="single" w:color="auto" w:sz="6" w:space="0"/>
              <w:bottom w:val="single" w:color="auto" w:sz="6" w:space="0"/>
              <w:right w:val="single" w:color="auto" w:sz="6" w:space="0"/>
            </w:tcBorders>
            <w:vAlign w:val="center"/>
          </w:tcPr>
          <w:p w14:paraId="387C29D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1DCC158">
            <w:pPr>
              <w:autoSpaceDE w:val="0"/>
              <w:autoSpaceDN w:val="0"/>
              <w:adjustRightInd w:val="0"/>
              <w:spacing w:line="400" w:lineRule="exact"/>
              <w:jc w:val="center"/>
              <w:rPr>
                <w:rFonts w:hint="eastAsia" w:ascii="宋体" w:hAns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05C43F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6180C9F5">
            <w:pPr>
              <w:autoSpaceDE w:val="0"/>
              <w:autoSpaceDN w:val="0"/>
              <w:adjustRightInd w:val="0"/>
              <w:spacing w:line="400" w:lineRule="exact"/>
              <w:jc w:val="center"/>
              <w:rPr>
                <w:rFonts w:hint="eastAsia" w:ascii="宋体" w:hAnsi="宋体" w:eastAsia="宋体" w:cs="宋体"/>
                <w:color w:val="auto"/>
                <w:kern w:val="0"/>
                <w:highlight w:val="none"/>
              </w:rPr>
            </w:pPr>
          </w:p>
        </w:tc>
      </w:tr>
      <w:tr w14:paraId="7D3465D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DA9A56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1E3CB439">
            <w:pPr>
              <w:autoSpaceDE w:val="0"/>
              <w:autoSpaceDN w:val="0"/>
              <w:adjustRightInd w:val="0"/>
              <w:spacing w:line="400" w:lineRule="exact"/>
              <w:jc w:val="center"/>
              <w:rPr>
                <w:rFonts w:hint="eastAsia" w:ascii="宋体" w:hAnsi="宋体" w:eastAsia="宋体" w:cs="宋体"/>
                <w:color w:val="auto"/>
                <w:kern w:val="0"/>
                <w:highlight w:val="none"/>
              </w:rPr>
            </w:pPr>
          </w:p>
        </w:tc>
      </w:tr>
      <w:tr w14:paraId="62EFA4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26782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14140D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52F80F74">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4E98E7D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45EDE71F">
            <w:pPr>
              <w:autoSpaceDE w:val="0"/>
              <w:autoSpaceDN w:val="0"/>
              <w:adjustRightInd w:val="0"/>
              <w:spacing w:line="400" w:lineRule="exact"/>
              <w:jc w:val="center"/>
              <w:rPr>
                <w:rFonts w:hint="eastAsia" w:ascii="宋体" w:hAns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5536255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A025AB">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235570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65FE2F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0F7A372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254AA9AE">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3DADC45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241813A">
            <w:pPr>
              <w:autoSpaceDE w:val="0"/>
              <w:autoSpaceDN w:val="0"/>
              <w:adjustRightInd w:val="0"/>
              <w:spacing w:line="400" w:lineRule="exact"/>
              <w:jc w:val="center"/>
              <w:rPr>
                <w:rFonts w:hint="eastAsia" w:ascii="宋体" w:hAns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E6C273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79D3DA">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20725A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759B772">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693F7D7">
            <w:pPr>
              <w:autoSpaceDE w:val="0"/>
              <w:autoSpaceDN w:val="0"/>
              <w:adjustRightInd w:val="0"/>
              <w:spacing w:line="400" w:lineRule="exact"/>
              <w:jc w:val="center"/>
              <w:rPr>
                <w:rFonts w:hint="eastAsia" w:ascii="宋体" w:hAnsi="宋体" w:eastAsia="宋体" w:cs="宋体"/>
                <w:color w:val="auto"/>
                <w:kern w:val="0"/>
                <w:highlight w:val="none"/>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046D090C">
            <w:pPr>
              <w:autoSpaceDE w:val="0"/>
              <w:autoSpaceDN w:val="0"/>
              <w:adjustRightInd w:val="0"/>
              <w:spacing w:line="400" w:lineRule="exact"/>
              <w:ind w:firstLine="1470" w:firstLineChars="700"/>
              <w:rPr>
                <w:rFonts w:hint="eastAsia" w:ascii="宋体" w:hAnsi="宋体" w:eastAsia="宋体" w:cs="宋体"/>
                <w:color w:val="auto"/>
                <w:kern w:val="0"/>
                <w:highlight w:val="none"/>
              </w:rPr>
            </w:pPr>
            <w:r>
              <w:rPr>
                <w:rFonts w:hint="eastAsia" w:ascii="宋体" w:hAnsi="宋体" w:eastAsia="宋体" w:cs="宋体"/>
                <w:color w:val="auto"/>
                <w:kern w:val="0"/>
                <w:highlight w:val="none"/>
              </w:rPr>
              <w:t>员工总人数：</w:t>
            </w:r>
          </w:p>
        </w:tc>
      </w:tr>
      <w:tr w14:paraId="78BF88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036BAD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068463A2">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20969B6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3ABE105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6E0FF258">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7AB062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91DB91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82EFDA5">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BBA36D7">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AF111A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10C0FD5">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4A4BAC9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6B6765B">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D71CDE9">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03BE8C6">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77B5669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0AD8206">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664A4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95B2F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C2664AA">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E62E143">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DB9DA3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4D408D35">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22B403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15AE68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986BFF8">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6ADD10C7">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10E7028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112C8D25">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5DA45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45B664F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2433EDC4">
            <w:pPr>
              <w:autoSpaceDE w:val="0"/>
              <w:autoSpaceDN w:val="0"/>
              <w:adjustRightInd w:val="0"/>
              <w:spacing w:line="400" w:lineRule="exact"/>
              <w:rPr>
                <w:rFonts w:hint="eastAsia" w:ascii="宋体" w:hAnsi="宋体" w:eastAsia="宋体" w:cs="宋体"/>
                <w:b/>
                <w:bCs/>
                <w:color w:val="auto"/>
                <w:kern w:val="0"/>
                <w:highlight w:val="none"/>
              </w:rPr>
            </w:pPr>
          </w:p>
        </w:tc>
      </w:tr>
      <w:tr w14:paraId="1BFE7FE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49EA4AD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2E2A9B7">
            <w:pPr>
              <w:autoSpaceDE w:val="0"/>
              <w:autoSpaceDN w:val="0"/>
              <w:adjustRightInd w:val="0"/>
              <w:spacing w:line="400" w:lineRule="exact"/>
              <w:jc w:val="left"/>
              <w:rPr>
                <w:rFonts w:hint="eastAsia" w:ascii="宋体" w:hAnsi="宋体" w:eastAsia="宋体" w:cs="宋体"/>
                <w:color w:val="auto"/>
                <w:kern w:val="0"/>
                <w:highlight w:val="none"/>
              </w:rPr>
            </w:pPr>
          </w:p>
        </w:tc>
      </w:tr>
    </w:tbl>
    <w:p w14:paraId="57AB3F88">
      <w:pPr>
        <w:spacing w:line="400" w:lineRule="exact"/>
        <w:ind w:firstLine="480"/>
        <w:rPr>
          <w:rFonts w:hint="eastAsia" w:ascii="宋体" w:hAnsi="宋体" w:eastAsia="宋体" w:cs="宋体"/>
          <w:color w:val="auto"/>
          <w:sz w:val="24"/>
          <w:highlight w:val="none"/>
        </w:rPr>
      </w:pPr>
    </w:p>
    <w:p w14:paraId="70AD6EA2">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6EF32722">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61F843BB">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3488735B">
      <w:pPr>
        <w:ind w:firstLine="482" w:firstLineChars="200"/>
        <w:rPr>
          <w:rFonts w:hint="eastAsia" w:ascii="宋体" w:hAnsi="宋体" w:eastAsia="宋体" w:cs="宋体"/>
          <w:b/>
          <w:bCs/>
          <w:color w:val="auto"/>
          <w:sz w:val="24"/>
          <w:highlight w:val="none"/>
        </w:rPr>
      </w:pPr>
    </w:p>
    <w:p w14:paraId="5D8805BB">
      <w:pPr>
        <w:ind w:firstLine="482" w:firstLineChars="200"/>
        <w:rPr>
          <w:rFonts w:hint="eastAsia" w:ascii="宋体" w:hAnsi="宋体" w:eastAsia="宋体" w:cs="宋体"/>
          <w:b/>
          <w:bCs/>
          <w:color w:val="auto"/>
          <w:sz w:val="24"/>
          <w:highlight w:val="none"/>
        </w:rPr>
      </w:pPr>
    </w:p>
    <w:p w14:paraId="0F081418">
      <w:pPr>
        <w:pStyle w:val="17"/>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附件18：投标人类似项目业绩一览表</w:t>
      </w:r>
    </w:p>
    <w:p w14:paraId="1DD57673">
      <w:pPr>
        <w:keepNext/>
        <w:keepLines/>
        <w:spacing w:before="260" w:after="260" w:line="412" w:lineRule="auto"/>
        <w:jc w:val="center"/>
        <w:rPr>
          <w:rFonts w:hint="eastAsia" w:ascii="宋体" w:hAnsi="宋体" w:eastAsia="宋体" w:cs="宋体"/>
          <w:b/>
          <w:bCs/>
          <w:color w:val="auto"/>
          <w:sz w:val="28"/>
          <w:szCs w:val="28"/>
          <w:highlight w:val="none"/>
        </w:rPr>
      </w:pPr>
      <w:bookmarkStart w:id="316" w:name="_Toc490815835"/>
      <w:bookmarkStart w:id="317" w:name="_Toc315963024"/>
      <w:bookmarkStart w:id="318" w:name="_Toc491163348"/>
      <w:bookmarkStart w:id="319" w:name="_Toc442099417"/>
      <w:bookmarkStart w:id="320" w:name="_Toc443297238"/>
      <w:bookmarkStart w:id="321" w:name="_Toc491163576"/>
      <w:bookmarkStart w:id="322" w:name="_Toc13043728"/>
      <w:bookmarkStart w:id="323" w:name="_Toc443231607"/>
      <w:bookmarkStart w:id="324" w:name="_Toc389231757"/>
      <w:r>
        <w:rPr>
          <w:rFonts w:hint="eastAsia" w:ascii="宋体" w:hAnsi="宋体" w:eastAsia="宋体" w:cs="宋体"/>
          <w:b/>
          <w:bCs/>
          <w:color w:val="auto"/>
          <w:sz w:val="28"/>
          <w:szCs w:val="28"/>
          <w:highlight w:val="none"/>
        </w:rPr>
        <w:t>投标人类似项目业绩一览表</w:t>
      </w:r>
      <w:bookmarkEnd w:id="316"/>
      <w:bookmarkEnd w:id="317"/>
      <w:bookmarkEnd w:id="318"/>
      <w:bookmarkEnd w:id="319"/>
      <w:bookmarkEnd w:id="320"/>
      <w:bookmarkEnd w:id="321"/>
      <w:bookmarkEnd w:id="322"/>
      <w:bookmarkEnd w:id="323"/>
      <w:bookmarkEnd w:id="324"/>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7D24EB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34B47876">
            <w:pPr>
              <w:spacing w:line="400" w:lineRule="exact"/>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序</w:t>
            </w:r>
          </w:p>
          <w:p w14:paraId="77B56AD4">
            <w:pPr>
              <w:spacing w:line="400" w:lineRule="exact"/>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41F90D9D">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3EFFC74B">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73B04F6C">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10D7E3E">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用户联系人</w:t>
            </w:r>
          </w:p>
          <w:p w14:paraId="0306BD44">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1D3F60E4">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1FA09765">
            <w:pPr>
              <w:spacing w:line="400" w:lineRule="exact"/>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合同</w:t>
            </w:r>
          </w:p>
          <w:p w14:paraId="45801B24">
            <w:pPr>
              <w:widowControl/>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24B9333B">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完成</w:t>
            </w:r>
          </w:p>
          <w:p w14:paraId="2C69201C">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w:t>
            </w:r>
          </w:p>
          <w:p w14:paraId="1301D8B4">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52D77012">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28B240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0416BCA">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1542F65">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4" w:space="0"/>
            </w:tcBorders>
            <w:vAlign w:val="center"/>
          </w:tcPr>
          <w:p w14:paraId="09E2C045">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2704809E">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A4E562C">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16786891">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1FC27DA9">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F2B1147">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3B2920AA">
            <w:pPr>
              <w:spacing w:line="400" w:lineRule="exact"/>
              <w:jc w:val="center"/>
              <w:rPr>
                <w:rFonts w:hint="eastAsia" w:ascii="宋体" w:hAnsi="宋体" w:eastAsia="宋体" w:cs="宋体"/>
                <w:color w:val="auto"/>
                <w:highlight w:val="none"/>
              </w:rPr>
            </w:pPr>
          </w:p>
        </w:tc>
      </w:tr>
      <w:tr w14:paraId="3A36EA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F782F9E">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3667275">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D4DB092">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7E6A228A">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433C5460">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7A850B00">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44DB67AE">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0D0F7620">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3BC6B312">
            <w:pPr>
              <w:spacing w:line="400" w:lineRule="exact"/>
              <w:jc w:val="center"/>
              <w:rPr>
                <w:rFonts w:hint="eastAsia" w:ascii="宋体" w:hAnsi="宋体" w:eastAsia="宋体" w:cs="宋体"/>
                <w:color w:val="auto"/>
                <w:highlight w:val="none"/>
              </w:rPr>
            </w:pPr>
          </w:p>
        </w:tc>
      </w:tr>
      <w:tr w14:paraId="19DC0C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5EE84D3">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620E48FA">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487C7809">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39E4A95">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22EB4216">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F688FA2">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10B3D6E1">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464A6B64">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26A2C9B6">
            <w:pPr>
              <w:spacing w:line="400" w:lineRule="exact"/>
              <w:jc w:val="center"/>
              <w:rPr>
                <w:rFonts w:hint="eastAsia" w:ascii="宋体" w:hAnsi="宋体" w:eastAsia="宋体" w:cs="宋体"/>
                <w:color w:val="auto"/>
                <w:highlight w:val="none"/>
              </w:rPr>
            </w:pPr>
          </w:p>
        </w:tc>
      </w:tr>
      <w:tr w14:paraId="661555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1A9359D4">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4" w:space="0"/>
            </w:tcBorders>
            <w:vAlign w:val="center"/>
          </w:tcPr>
          <w:p w14:paraId="47B4A2AA">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6" w:space="0"/>
            </w:tcBorders>
            <w:vAlign w:val="center"/>
          </w:tcPr>
          <w:p w14:paraId="2D1459A8">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7850017">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110AD322">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720137E3">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5D43E612">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742A93D0">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5F07354">
            <w:pPr>
              <w:spacing w:line="400" w:lineRule="exact"/>
              <w:jc w:val="center"/>
              <w:rPr>
                <w:rFonts w:hint="eastAsia" w:ascii="宋体" w:hAnsi="宋体" w:eastAsia="宋体" w:cs="宋体"/>
                <w:color w:val="auto"/>
                <w:highlight w:val="none"/>
              </w:rPr>
            </w:pPr>
          </w:p>
        </w:tc>
      </w:tr>
      <w:tr w14:paraId="24ACF1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627E7315">
            <w:pPr>
              <w:spacing w:line="400" w:lineRule="exact"/>
              <w:rPr>
                <w:rFonts w:hint="eastAsia" w:ascii="宋体" w:hAnsi="宋体" w:eastAsia="宋体" w:cs="宋体"/>
                <w:color w:val="auto"/>
                <w:highlight w:val="none"/>
              </w:rPr>
            </w:pPr>
          </w:p>
        </w:tc>
        <w:tc>
          <w:tcPr>
            <w:tcW w:w="1526" w:type="dxa"/>
            <w:tcBorders>
              <w:top w:val="single" w:color="auto" w:sz="6" w:space="0"/>
              <w:left w:val="single" w:color="auto" w:sz="4" w:space="0"/>
              <w:bottom w:val="single" w:color="auto" w:sz="6" w:space="0"/>
              <w:right w:val="single" w:color="auto" w:sz="4" w:space="0"/>
            </w:tcBorders>
            <w:vAlign w:val="center"/>
          </w:tcPr>
          <w:p w14:paraId="1FAA6924">
            <w:pPr>
              <w:spacing w:line="400" w:lineRule="exact"/>
              <w:rPr>
                <w:rFonts w:hint="eastAsia" w:ascii="宋体" w:hAns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4" w:space="0"/>
            </w:tcBorders>
            <w:vAlign w:val="center"/>
          </w:tcPr>
          <w:p w14:paraId="5B5A1D24">
            <w:pPr>
              <w:spacing w:line="400" w:lineRule="exact"/>
              <w:rPr>
                <w:rFonts w:hint="eastAsia" w:ascii="宋体" w:hAns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0F2E9981">
            <w:pPr>
              <w:spacing w:line="400" w:lineRule="exact"/>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D3DEDF5">
            <w:pPr>
              <w:spacing w:line="400" w:lineRule="exact"/>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4" w:space="0"/>
            </w:tcBorders>
            <w:vAlign w:val="center"/>
          </w:tcPr>
          <w:p w14:paraId="2C5C3E96">
            <w:pPr>
              <w:spacing w:line="400" w:lineRule="exact"/>
              <w:rPr>
                <w:rFonts w:hint="eastAsia" w:ascii="宋体" w:hAnsi="宋体" w:eastAsia="宋体" w:cs="宋体"/>
                <w:color w:val="auto"/>
                <w:highlight w:val="none"/>
              </w:rPr>
            </w:pPr>
          </w:p>
        </w:tc>
        <w:tc>
          <w:tcPr>
            <w:tcW w:w="865" w:type="dxa"/>
            <w:tcBorders>
              <w:top w:val="single" w:color="auto" w:sz="6" w:space="0"/>
              <w:left w:val="single" w:color="auto" w:sz="4" w:space="0"/>
              <w:bottom w:val="single" w:color="auto" w:sz="6" w:space="0"/>
              <w:right w:val="single" w:color="auto" w:sz="4" w:space="0"/>
            </w:tcBorders>
            <w:vAlign w:val="center"/>
          </w:tcPr>
          <w:p w14:paraId="0FCFCE58">
            <w:pPr>
              <w:spacing w:line="400" w:lineRule="exact"/>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47821E7C">
            <w:pPr>
              <w:spacing w:line="400" w:lineRule="exact"/>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059CDB33">
            <w:pPr>
              <w:spacing w:line="400" w:lineRule="exact"/>
              <w:rPr>
                <w:rFonts w:hint="eastAsia" w:ascii="宋体" w:hAnsi="宋体" w:eastAsia="宋体" w:cs="宋体"/>
                <w:color w:val="auto"/>
                <w:highlight w:val="none"/>
              </w:rPr>
            </w:pPr>
          </w:p>
        </w:tc>
      </w:tr>
      <w:tr w14:paraId="2EBB9F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B0DFC74">
            <w:pPr>
              <w:spacing w:line="400" w:lineRule="exact"/>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1B23E2E6">
            <w:pPr>
              <w:spacing w:line="400" w:lineRule="exact"/>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003CE997">
            <w:pPr>
              <w:spacing w:line="400" w:lineRule="exact"/>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475ABC88">
            <w:pPr>
              <w:spacing w:line="400" w:lineRule="exact"/>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138437F">
            <w:pPr>
              <w:spacing w:line="400" w:lineRule="exact"/>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36083512">
            <w:pPr>
              <w:spacing w:line="400" w:lineRule="exact"/>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8A463C5">
            <w:pPr>
              <w:spacing w:line="400" w:lineRule="exact"/>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2FCE71E0">
            <w:pPr>
              <w:spacing w:line="400" w:lineRule="exact"/>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06E97D2">
            <w:pPr>
              <w:spacing w:line="400" w:lineRule="exact"/>
              <w:rPr>
                <w:rFonts w:hint="eastAsia" w:ascii="宋体" w:hAnsi="宋体" w:eastAsia="宋体" w:cs="宋体"/>
                <w:color w:val="auto"/>
                <w:highlight w:val="none"/>
              </w:rPr>
            </w:pPr>
          </w:p>
        </w:tc>
      </w:tr>
      <w:tr w14:paraId="2E82CC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D31BA7C">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1C25ADBC">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6994A74">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32135EF2">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2E2ECFF">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2A488DE8">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1228A6F9">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135CC014">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6CBC44F8">
            <w:pPr>
              <w:spacing w:line="400" w:lineRule="exact"/>
              <w:jc w:val="center"/>
              <w:rPr>
                <w:rFonts w:hint="eastAsia" w:ascii="宋体" w:hAnsi="宋体" w:eastAsia="宋体" w:cs="宋体"/>
                <w:color w:val="auto"/>
                <w:highlight w:val="none"/>
              </w:rPr>
            </w:pPr>
          </w:p>
        </w:tc>
      </w:tr>
      <w:tr w14:paraId="19945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2A28F0A0">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2E476584">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CA419A1">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231AAD95">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ED51A2A">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FFDC5D6">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4E14662">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27B8F5B4">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EBECAD8">
            <w:pPr>
              <w:spacing w:line="400" w:lineRule="exact"/>
              <w:jc w:val="center"/>
              <w:rPr>
                <w:rFonts w:hint="eastAsia" w:ascii="宋体" w:hAnsi="宋体" w:eastAsia="宋体" w:cs="宋体"/>
                <w:color w:val="auto"/>
                <w:highlight w:val="none"/>
              </w:rPr>
            </w:pPr>
          </w:p>
        </w:tc>
      </w:tr>
      <w:tr w14:paraId="2FDD91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38D0C986">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4" w:space="0"/>
              <w:right w:val="single" w:color="auto" w:sz="6" w:space="0"/>
            </w:tcBorders>
            <w:vAlign w:val="center"/>
          </w:tcPr>
          <w:p w14:paraId="2B6A92A5">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4" w:space="0"/>
              <w:right w:val="single" w:color="auto" w:sz="6" w:space="0"/>
            </w:tcBorders>
            <w:vAlign w:val="center"/>
          </w:tcPr>
          <w:p w14:paraId="0E7B52A8">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4" w:space="0"/>
              <w:right w:val="single" w:color="auto" w:sz="4" w:space="0"/>
            </w:tcBorders>
            <w:vAlign w:val="center"/>
          </w:tcPr>
          <w:p w14:paraId="6A2DAB57">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4" w:space="0"/>
              <w:right w:val="single" w:color="auto" w:sz="4" w:space="0"/>
            </w:tcBorders>
            <w:vAlign w:val="center"/>
          </w:tcPr>
          <w:p w14:paraId="059339C3">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4" w:space="0"/>
              <w:right w:val="single" w:color="auto" w:sz="6" w:space="0"/>
            </w:tcBorders>
            <w:vAlign w:val="center"/>
          </w:tcPr>
          <w:p w14:paraId="0DA9F14B">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4" w:space="0"/>
              <w:right w:val="single" w:color="auto" w:sz="4" w:space="0"/>
            </w:tcBorders>
            <w:vAlign w:val="center"/>
          </w:tcPr>
          <w:p w14:paraId="5C60483E">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4" w:space="0"/>
              <w:right w:val="single" w:color="auto" w:sz="4" w:space="0"/>
            </w:tcBorders>
            <w:vAlign w:val="center"/>
          </w:tcPr>
          <w:p w14:paraId="3DECD31B">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4" w:space="0"/>
              <w:right w:val="single" w:color="auto" w:sz="4" w:space="0"/>
            </w:tcBorders>
            <w:vAlign w:val="center"/>
          </w:tcPr>
          <w:p w14:paraId="62C45613">
            <w:pPr>
              <w:spacing w:line="400" w:lineRule="exact"/>
              <w:jc w:val="center"/>
              <w:rPr>
                <w:rFonts w:hint="eastAsia" w:ascii="宋体" w:hAnsi="宋体" w:eastAsia="宋体" w:cs="宋体"/>
                <w:color w:val="auto"/>
                <w:highlight w:val="none"/>
              </w:rPr>
            </w:pPr>
          </w:p>
        </w:tc>
      </w:tr>
    </w:tbl>
    <w:p w14:paraId="045F08F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此表可延长</w:t>
      </w:r>
    </w:p>
    <w:p w14:paraId="2928EAF7">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注：投标人以上业绩需提供有关书面证明材料。</w:t>
      </w:r>
    </w:p>
    <w:p w14:paraId="10B755DE">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highlight w:val="none"/>
        </w:rPr>
      </w:pPr>
    </w:p>
    <w:p w14:paraId="71D0A866">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highlight w:val="none"/>
        </w:rPr>
      </w:pPr>
    </w:p>
    <w:p w14:paraId="57A7ACCC">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highlight w:val="none"/>
        </w:rPr>
      </w:pPr>
    </w:p>
    <w:p w14:paraId="762AA9A5">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E88DD06">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5EDC7280">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2BE2E066">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7639EF11">
      <w:pPr>
        <w:pStyle w:val="17"/>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附件19：本项目管理、技术、服务人员情况表</w:t>
      </w:r>
    </w:p>
    <w:p w14:paraId="20DA2D33">
      <w:pPr>
        <w:keepNext/>
        <w:keepLines/>
        <w:spacing w:before="260" w:after="260" w:line="412"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本项目管理、技术、服务人员情况表</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31E3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790032E7">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7A1D7F5">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56D4E397">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6854FF31">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55634BB1">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7F6195FE">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资格证明（附复印件）</w:t>
            </w:r>
          </w:p>
        </w:tc>
      </w:tr>
      <w:tr w14:paraId="3D6B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5093541">
            <w:pPr>
              <w:widowControl/>
              <w:jc w:val="left"/>
              <w:rPr>
                <w:rFonts w:hint="eastAsia" w:ascii="宋体" w:hAnsi="宋体" w:eastAsia="宋体" w:cs="宋体"/>
                <w:color w:val="auto"/>
                <w:highlight w:val="none"/>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06A4853">
            <w:pPr>
              <w:widowControl/>
              <w:jc w:val="left"/>
              <w:rPr>
                <w:rFonts w:hint="eastAsia" w:ascii="宋体" w:hAnsi="宋体" w:eastAsia="宋体" w:cs="宋体"/>
                <w:color w:val="auto"/>
                <w:highlight w:val="none"/>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550E4200">
            <w:pPr>
              <w:widowControl/>
              <w:jc w:val="left"/>
              <w:rPr>
                <w:rFonts w:hint="eastAsia" w:ascii="宋体" w:hAnsi="宋体" w:eastAsia="宋体" w:cs="宋体"/>
                <w:color w:val="auto"/>
                <w:highlight w:val="none"/>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626401E9">
            <w:pPr>
              <w:widowControl/>
              <w:jc w:val="left"/>
              <w:rPr>
                <w:rFonts w:hint="eastAsia" w:ascii="宋体" w:hAnsi="宋体" w:eastAsia="宋体" w:cs="宋体"/>
                <w:color w:val="auto"/>
                <w:highlight w:val="none"/>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0D39685F">
            <w:pPr>
              <w:widowControl/>
              <w:jc w:val="left"/>
              <w:rPr>
                <w:rFonts w:hint="eastAsia" w:ascii="宋体" w:hAnsi="宋体" w:eastAsia="宋体" w:cs="宋体"/>
                <w:color w:val="auto"/>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23093D36">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5E15B8D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6A1A9FB6">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7782A420">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专业</w:t>
            </w:r>
          </w:p>
        </w:tc>
      </w:tr>
      <w:tr w14:paraId="7071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6F657CD3">
            <w:pPr>
              <w:spacing w:line="400" w:lineRule="exact"/>
              <w:jc w:val="center"/>
              <w:rPr>
                <w:rFonts w:hint="eastAsia" w:ascii="宋体" w:hAnsi="宋体" w:eastAsia="宋体" w:cs="宋体"/>
                <w:color w:val="auto"/>
                <w:highlight w:val="none"/>
              </w:rPr>
            </w:pPr>
          </w:p>
          <w:p w14:paraId="5FEC0EB3">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管理</w:t>
            </w:r>
          </w:p>
          <w:p w14:paraId="1DC65C32">
            <w:pPr>
              <w:spacing w:line="400" w:lineRule="exact"/>
              <w:jc w:val="center"/>
              <w:rPr>
                <w:rFonts w:hint="eastAsia" w:ascii="宋体" w:hAnsi="宋体" w:eastAsia="宋体" w:cs="宋体"/>
                <w:color w:val="auto"/>
                <w:sz w:val="28"/>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51C8D49B">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0716253">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6F72F3B">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7520615B">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9DE4004">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3BBE125">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3400E85">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F9DB4CF">
            <w:pPr>
              <w:spacing w:line="400" w:lineRule="exact"/>
              <w:jc w:val="center"/>
              <w:rPr>
                <w:rFonts w:hint="eastAsia" w:ascii="宋体" w:hAnsi="宋体" w:eastAsia="宋体" w:cs="宋体"/>
                <w:color w:val="auto"/>
                <w:sz w:val="28"/>
                <w:highlight w:val="none"/>
              </w:rPr>
            </w:pPr>
          </w:p>
        </w:tc>
      </w:tr>
      <w:tr w14:paraId="419A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4818BA8">
            <w:pPr>
              <w:widowControl/>
              <w:jc w:val="left"/>
              <w:rPr>
                <w:rFonts w:hint="eastAsia" w:ascii="宋体" w:hAnsi="宋体" w:eastAsia="宋体" w:cs="宋体"/>
                <w:color w:val="auto"/>
                <w:sz w:val="28"/>
                <w:highlight w:val="none"/>
              </w:rPr>
            </w:pPr>
          </w:p>
        </w:tc>
        <w:tc>
          <w:tcPr>
            <w:tcW w:w="1037" w:type="dxa"/>
            <w:tcBorders>
              <w:top w:val="single" w:color="auto" w:sz="4" w:space="0"/>
              <w:left w:val="single" w:color="auto" w:sz="4" w:space="0"/>
              <w:bottom w:val="single" w:color="auto" w:sz="4" w:space="0"/>
              <w:right w:val="single" w:color="auto" w:sz="4" w:space="0"/>
            </w:tcBorders>
          </w:tcPr>
          <w:p w14:paraId="72567A06">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224F918">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53965AF">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4A08B6D">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C23E81A">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582C7BD">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6F0CB7A7">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C6B7484">
            <w:pPr>
              <w:spacing w:line="400" w:lineRule="exact"/>
              <w:jc w:val="center"/>
              <w:rPr>
                <w:rFonts w:hint="eastAsia" w:ascii="宋体" w:hAnsi="宋体" w:eastAsia="宋体" w:cs="宋体"/>
                <w:color w:val="auto"/>
                <w:sz w:val="28"/>
                <w:highlight w:val="none"/>
              </w:rPr>
            </w:pPr>
          </w:p>
        </w:tc>
      </w:tr>
      <w:tr w14:paraId="480C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DA5D53">
            <w:pPr>
              <w:widowControl/>
              <w:jc w:val="left"/>
              <w:rPr>
                <w:rFonts w:hint="eastAsia" w:ascii="宋体" w:hAnsi="宋体" w:eastAsia="宋体" w:cs="宋体"/>
                <w:color w:val="auto"/>
                <w:sz w:val="28"/>
                <w:highlight w:val="none"/>
              </w:rPr>
            </w:pPr>
          </w:p>
        </w:tc>
        <w:tc>
          <w:tcPr>
            <w:tcW w:w="1037" w:type="dxa"/>
            <w:tcBorders>
              <w:top w:val="single" w:color="auto" w:sz="4" w:space="0"/>
              <w:left w:val="single" w:color="auto" w:sz="4" w:space="0"/>
              <w:bottom w:val="single" w:color="auto" w:sz="4" w:space="0"/>
              <w:right w:val="single" w:color="auto" w:sz="4" w:space="0"/>
            </w:tcBorders>
          </w:tcPr>
          <w:p w14:paraId="0325F843">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7414944">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30F4E6B">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E4F9AF8">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73A3FA4">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13177FD">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66641CD">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3B146E2">
            <w:pPr>
              <w:spacing w:line="400" w:lineRule="exact"/>
              <w:jc w:val="center"/>
              <w:rPr>
                <w:rFonts w:hint="eastAsia" w:ascii="宋体" w:hAnsi="宋体" w:eastAsia="宋体" w:cs="宋体"/>
                <w:color w:val="auto"/>
                <w:sz w:val="28"/>
                <w:highlight w:val="none"/>
              </w:rPr>
            </w:pPr>
          </w:p>
        </w:tc>
      </w:tr>
      <w:tr w14:paraId="2A63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11065115">
            <w:pPr>
              <w:spacing w:line="400" w:lineRule="exact"/>
              <w:jc w:val="center"/>
              <w:rPr>
                <w:rFonts w:hint="eastAsia" w:ascii="宋体" w:hAnsi="宋体" w:eastAsia="宋体" w:cs="宋体"/>
                <w:color w:val="auto"/>
                <w:highlight w:val="none"/>
              </w:rPr>
            </w:pPr>
          </w:p>
          <w:p w14:paraId="59CF957D">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技术</w:t>
            </w:r>
          </w:p>
          <w:p w14:paraId="515117D0">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46BB39E0">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5BE6FAA3">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2B2AF8DA">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48124132">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40B8E5E">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DA99550">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080E3822">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4D3CB82">
            <w:pPr>
              <w:spacing w:line="400" w:lineRule="exact"/>
              <w:jc w:val="center"/>
              <w:rPr>
                <w:rFonts w:hint="eastAsia" w:ascii="宋体" w:hAnsi="宋体" w:eastAsia="宋体" w:cs="宋体"/>
                <w:color w:val="auto"/>
                <w:sz w:val="28"/>
                <w:highlight w:val="none"/>
              </w:rPr>
            </w:pPr>
          </w:p>
        </w:tc>
      </w:tr>
      <w:tr w14:paraId="782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D0D55B9">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5CBB412">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1A73D8F7">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7515C28">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2C5A91D0">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308EF7F">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E9CD5F2">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2BB23B88">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98B8F61">
            <w:pPr>
              <w:spacing w:line="400" w:lineRule="exact"/>
              <w:jc w:val="center"/>
              <w:rPr>
                <w:rFonts w:hint="eastAsia" w:ascii="宋体" w:hAnsi="宋体" w:eastAsia="宋体" w:cs="宋体"/>
                <w:color w:val="auto"/>
                <w:sz w:val="28"/>
                <w:highlight w:val="none"/>
              </w:rPr>
            </w:pPr>
          </w:p>
        </w:tc>
      </w:tr>
      <w:tr w14:paraId="3637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8F5DA2E">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A97993B">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67EC1955">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B72262C">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527114FF">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6B36E9A">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03B3933">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4683555E">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FDB8C1D">
            <w:pPr>
              <w:spacing w:line="400" w:lineRule="exact"/>
              <w:jc w:val="center"/>
              <w:rPr>
                <w:rFonts w:hint="eastAsia" w:ascii="宋体" w:hAnsi="宋体" w:eastAsia="宋体" w:cs="宋体"/>
                <w:color w:val="auto"/>
                <w:sz w:val="28"/>
                <w:highlight w:val="none"/>
              </w:rPr>
            </w:pPr>
          </w:p>
        </w:tc>
      </w:tr>
      <w:tr w14:paraId="50B5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5EA27AC3">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78DD27D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服务</w:t>
            </w:r>
          </w:p>
          <w:p w14:paraId="7AB844FD">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615FE842">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7C32D0D0">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1B868B0E">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D92F812">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FBEAB74">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7ED785CF">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3611B19B">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1BCD8774">
            <w:pPr>
              <w:spacing w:line="400" w:lineRule="exact"/>
              <w:jc w:val="center"/>
              <w:rPr>
                <w:rFonts w:hint="eastAsia" w:ascii="宋体" w:hAnsi="宋体" w:eastAsia="宋体" w:cs="宋体"/>
                <w:color w:val="auto"/>
                <w:sz w:val="28"/>
                <w:highlight w:val="none"/>
              </w:rPr>
            </w:pPr>
          </w:p>
        </w:tc>
      </w:tr>
      <w:tr w14:paraId="44AC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252B137">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2BFD49A6">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10A3400">
            <w:pPr>
              <w:spacing w:line="400" w:lineRule="exact"/>
              <w:jc w:val="center"/>
              <w:rPr>
                <w:rFonts w:hint="eastAsia" w:ascii="宋体" w:hAns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04A0D042">
            <w:pPr>
              <w:spacing w:line="400" w:lineRule="exact"/>
              <w:jc w:val="center"/>
              <w:rPr>
                <w:rFonts w:hint="eastAsia" w:ascii="宋体" w:hAns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22AAA55E">
            <w:pPr>
              <w:spacing w:line="400" w:lineRule="exact"/>
              <w:jc w:val="center"/>
              <w:rPr>
                <w:rFonts w:hint="eastAsia" w:ascii="宋体" w:hAns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02DE76C">
            <w:pPr>
              <w:spacing w:line="400" w:lineRule="exact"/>
              <w:jc w:val="center"/>
              <w:rPr>
                <w:rFonts w:hint="eastAsia" w:ascii="宋体" w:hAns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47E1809">
            <w:pPr>
              <w:spacing w:line="400" w:lineRule="exact"/>
              <w:jc w:val="center"/>
              <w:rPr>
                <w:rFonts w:hint="eastAsia" w:ascii="宋体" w:hAns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646C161A">
            <w:pPr>
              <w:spacing w:line="400" w:lineRule="exact"/>
              <w:jc w:val="center"/>
              <w:rPr>
                <w:rFonts w:hint="eastAsia" w:ascii="宋体" w:hAns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0A1085E9">
            <w:pPr>
              <w:spacing w:line="400" w:lineRule="exact"/>
              <w:jc w:val="center"/>
              <w:rPr>
                <w:rFonts w:hint="eastAsia" w:ascii="宋体" w:hAnsi="宋体" w:eastAsia="宋体" w:cs="宋体"/>
                <w:b/>
                <w:bCs/>
                <w:color w:val="auto"/>
                <w:sz w:val="28"/>
                <w:highlight w:val="none"/>
              </w:rPr>
            </w:pPr>
          </w:p>
        </w:tc>
      </w:tr>
      <w:tr w14:paraId="06FF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064A982">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7F707DFE">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0909E55">
            <w:pPr>
              <w:spacing w:line="400" w:lineRule="exact"/>
              <w:jc w:val="center"/>
              <w:rPr>
                <w:rFonts w:hint="eastAsia" w:ascii="宋体" w:hAns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21004E1">
            <w:pPr>
              <w:spacing w:line="400" w:lineRule="exact"/>
              <w:jc w:val="center"/>
              <w:rPr>
                <w:rFonts w:hint="eastAsia" w:ascii="宋体" w:hAns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18D9FD1F">
            <w:pPr>
              <w:spacing w:line="400" w:lineRule="exact"/>
              <w:jc w:val="center"/>
              <w:rPr>
                <w:rFonts w:hint="eastAsia" w:ascii="宋体" w:hAns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0373F66">
            <w:pPr>
              <w:spacing w:line="400" w:lineRule="exact"/>
              <w:jc w:val="center"/>
              <w:rPr>
                <w:rFonts w:hint="eastAsia" w:ascii="宋体" w:hAns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A5AD85F">
            <w:pPr>
              <w:spacing w:line="400" w:lineRule="exact"/>
              <w:jc w:val="center"/>
              <w:rPr>
                <w:rFonts w:hint="eastAsia" w:ascii="宋体" w:hAns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0971380E">
            <w:pPr>
              <w:spacing w:line="400" w:lineRule="exact"/>
              <w:jc w:val="center"/>
              <w:rPr>
                <w:rFonts w:hint="eastAsia" w:ascii="宋体" w:hAns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73BFD670">
            <w:pPr>
              <w:spacing w:line="400" w:lineRule="exact"/>
              <w:jc w:val="center"/>
              <w:rPr>
                <w:rFonts w:hint="eastAsia" w:ascii="宋体" w:hAnsi="宋体" w:eastAsia="宋体" w:cs="宋体"/>
                <w:b/>
                <w:bCs/>
                <w:color w:val="auto"/>
                <w:sz w:val="28"/>
                <w:highlight w:val="none"/>
              </w:rPr>
            </w:pPr>
          </w:p>
        </w:tc>
      </w:tr>
    </w:tbl>
    <w:p w14:paraId="6AD4482E">
      <w:pPr>
        <w:adjustRightInd w:val="0"/>
        <w:spacing w:line="360" w:lineRule="auto"/>
        <w:rPr>
          <w:rFonts w:hint="eastAsia" w:ascii="宋体" w:hAnsi="宋体" w:eastAsia="宋体" w:cs="宋体"/>
          <w:bCs/>
          <w:color w:val="auto"/>
          <w:spacing w:val="8"/>
          <w:sz w:val="24"/>
          <w:szCs w:val="24"/>
          <w:highlight w:val="none"/>
        </w:rPr>
      </w:pPr>
      <w:r>
        <w:rPr>
          <w:rFonts w:hint="eastAsia" w:ascii="宋体" w:hAnsi="宋体" w:eastAsia="宋体" w:cs="宋体"/>
          <w:b/>
          <w:bCs/>
          <w:color w:val="auto"/>
          <w:spacing w:val="8"/>
          <w:sz w:val="20"/>
          <w:szCs w:val="30"/>
          <w:highlight w:val="none"/>
        </w:rPr>
        <w:t xml:space="preserve"> </w:t>
      </w:r>
      <w:r>
        <w:rPr>
          <w:rFonts w:hint="eastAsia" w:ascii="宋体" w:hAnsi="宋体" w:eastAsia="宋体" w:cs="宋体"/>
          <w:b/>
          <w:bCs/>
          <w:color w:val="auto"/>
          <w:spacing w:val="8"/>
          <w:sz w:val="24"/>
          <w:szCs w:val="24"/>
          <w:highlight w:val="none"/>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41FA04A8">
      <w:pPr>
        <w:adjustRightInd w:val="0"/>
        <w:spacing w:line="320" w:lineRule="exact"/>
        <w:rPr>
          <w:rFonts w:hint="eastAsia" w:ascii="宋体" w:hAnsi="宋体" w:eastAsia="宋体" w:cs="宋体"/>
          <w:bCs/>
          <w:color w:val="auto"/>
          <w:spacing w:val="8"/>
          <w:sz w:val="24"/>
          <w:szCs w:val="24"/>
          <w:highlight w:val="none"/>
        </w:rPr>
      </w:pPr>
    </w:p>
    <w:p w14:paraId="54489453">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0B9C3A3A">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19D5C8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bookmarkStart w:id="325" w:name="_Toc13565323"/>
      <w:bookmarkStart w:id="326" w:name="_Toc11231752"/>
      <w:bookmarkStart w:id="327" w:name="_Toc11243001"/>
      <w:bookmarkStart w:id="328" w:name="_Toc13646969"/>
    </w:p>
    <w:bookmarkEnd w:id="325"/>
    <w:bookmarkEnd w:id="326"/>
    <w:bookmarkEnd w:id="327"/>
    <w:bookmarkEnd w:id="328"/>
    <w:p w14:paraId="639669A0">
      <w:pPr>
        <w:rPr>
          <w:rFonts w:hint="eastAsia" w:ascii="宋体" w:hAnsi="宋体" w:eastAsia="宋体" w:cs="宋体"/>
          <w:color w:val="auto"/>
          <w:sz w:val="24"/>
          <w:highlight w:val="none"/>
        </w:rPr>
      </w:pPr>
    </w:p>
    <w:p w14:paraId="155237D0">
      <w:pPr>
        <w:spacing w:line="0" w:lineRule="atLeas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6E456210">
      <w:pPr>
        <w:spacing w:line="0" w:lineRule="atLeast"/>
        <w:rPr>
          <w:rFonts w:hint="eastAsia" w:ascii="宋体" w:hAnsi="宋体" w:eastAsia="宋体" w:cs="宋体"/>
          <w:b/>
          <w:color w:val="auto"/>
          <w:highlight w:val="none"/>
        </w:rPr>
      </w:pPr>
      <w:r>
        <w:rPr>
          <w:rFonts w:hint="eastAsia" w:ascii="宋体" w:hAnsi="宋体" w:eastAsia="宋体" w:cs="宋体"/>
          <w:b/>
          <w:color w:val="auto"/>
          <w:sz w:val="28"/>
          <w:szCs w:val="28"/>
          <w:highlight w:val="none"/>
        </w:rPr>
        <w:t>附件20：评分标准中需要提供的文件和资料</w:t>
      </w:r>
    </w:p>
    <w:p w14:paraId="709B82D5">
      <w:pPr>
        <w:spacing w:line="360" w:lineRule="auto"/>
        <w:ind w:firstLine="560" w:firstLineChars="200"/>
        <w:rPr>
          <w:rFonts w:hint="eastAsia" w:ascii="宋体" w:hAnsi="宋体" w:eastAsia="宋体" w:cs="宋体"/>
          <w:color w:val="auto"/>
          <w:sz w:val="28"/>
          <w:szCs w:val="28"/>
          <w:highlight w:val="none"/>
        </w:rPr>
      </w:pPr>
    </w:p>
    <w:p w14:paraId="519E4DCD">
      <w:pPr>
        <w:spacing w:line="360" w:lineRule="auto"/>
        <w:ind w:firstLine="480" w:firstLineChars="200"/>
        <w:rPr>
          <w:rFonts w:hint="eastAsia" w:ascii="宋体" w:hAnsi="宋体" w:eastAsia="宋体" w:cs="宋体"/>
          <w:color w:val="auto"/>
          <w:sz w:val="24"/>
          <w:szCs w:val="24"/>
          <w:highlight w:val="none"/>
        </w:rPr>
      </w:pPr>
    </w:p>
    <w:p w14:paraId="09278819">
      <w:pPr>
        <w:pStyle w:val="339"/>
        <w:tabs>
          <w:tab w:val="left" w:pos="0"/>
        </w:tabs>
        <w:spacing w:line="360" w:lineRule="auto"/>
        <w:ind w:right="86" w:firstLine="480" w:firstLineChars="200"/>
        <w:rPr>
          <w:rStyle w:val="334"/>
          <w:rFonts w:hint="eastAsia" w:ascii="宋体" w:hAnsi="宋体" w:eastAsia="宋体" w:cs="宋体"/>
          <w:color w:val="auto"/>
          <w:sz w:val="24"/>
          <w:szCs w:val="24"/>
          <w:highlight w:val="none"/>
          <w:lang w:eastAsia="zh-CN"/>
        </w:rPr>
      </w:pPr>
      <w:r>
        <w:rPr>
          <w:rStyle w:val="334"/>
          <w:rFonts w:hint="eastAsia" w:ascii="宋体" w:hAnsi="宋体" w:eastAsia="宋体" w:cs="宋体"/>
          <w:color w:val="auto"/>
          <w:sz w:val="24"/>
          <w:szCs w:val="24"/>
          <w:highlight w:val="none"/>
          <w:lang w:eastAsia="zh-CN"/>
        </w:rPr>
        <w:t>注：</w:t>
      </w:r>
    </w:p>
    <w:p w14:paraId="67A6E222">
      <w:pPr>
        <w:pStyle w:val="339"/>
        <w:tabs>
          <w:tab w:val="left" w:pos="0"/>
        </w:tabs>
        <w:spacing w:line="360" w:lineRule="auto"/>
        <w:ind w:right="86" w:firstLine="480" w:firstLineChars="200"/>
        <w:rPr>
          <w:rStyle w:val="334"/>
          <w:rFonts w:hint="eastAsia" w:ascii="宋体" w:hAnsi="宋体" w:eastAsia="宋体" w:cs="宋体"/>
          <w:color w:val="auto"/>
          <w:sz w:val="24"/>
          <w:szCs w:val="24"/>
          <w:highlight w:val="none"/>
          <w:lang w:eastAsia="zh-CN"/>
        </w:rPr>
      </w:pPr>
      <w:r>
        <w:rPr>
          <w:rStyle w:val="334"/>
          <w:rFonts w:hint="eastAsia" w:ascii="宋体" w:hAnsi="宋体" w:eastAsia="宋体" w:cs="宋体"/>
          <w:color w:val="auto"/>
          <w:sz w:val="24"/>
          <w:szCs w:val="24"/>
          <w:highlight w:val="none"/>
          <w:lang w:eastAsia="zh-CN"/>
        </w:rPr>
        <w:t>1.对照招标文件关于采购需求与评分办法等具体要求应当据实提供的其他资料、相关说明等，以及投标人认为可以提供的其他证明资料、相关说明等，格式自拟，据实</w:t>
      </w:r>
      <w:r>
        <w:rPr>
          <w:rFonts w:hint="eastAsia" w:ascii="宋体" w:hAnsi="宋体" w:eastAsia="宋体" w:cs="宋体"/>
          <w:color w:val="auto"/>
          <w:sz w:val="24"/>
          <w:szCs w:val="24"/>
          <w:highlight w:val="none"/>
          <w:lang w:eastAsia="zh-CN"/>
        </w:rPr>
        <w:t>自行提供，不作强制性要求。</w:t>
      </w:r>
    </w:p>
    <w:p w14:paraId="1FDCB079">
      <w:pPr>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2.在投标文件已描述或提供了的，不必重复，不齐将扣相应分，未提供将不得相应分。</w:t>
      </w:r>
    </w:p>
    <w:p w14:paraId="7268BCA0">
      <w:pPr>
        <w:rPr>
          <w:rFonts w:hint="eastAsia" w:ascii="宋体" w:hAnsi="宋体" w:eastAsia="宋体" w:cs="宋体"/>
          <w:color w:val="auto"/>
          <w:highlight w:val="none"/>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CG Omega">
    <w:altName w:val="Yu Gothic UI"/>
    <w:panose1 w:val="020B0502050508020304"/>
    <w:charset w:val="00"/>
    <w:family w:val="swiss"/>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3063">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760D577C">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7C69">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13A08FE5">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F9157">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41</w:t>
    </w:r>
    <w:r>
      <w:rPr>
        <w:rStyle w:val="51"/>
      </w:rPr>
      <w:fldChar w:fldCharType="end"/>
    </w:r>
  </w:p>
  <w:p w14:paraId="156CCF91">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A9EDE">
    <w:pPr>
      <w:pStyle w:val="28"/>
      <w:jc w:val="center"/>
      <w:rPr>
        <w:rStyle w:val="51"/>
        <w:rFonts w:ascii="宋体" w:hAnsi="宋体" w:eastAsia="宋体"/>
      </w:rPr>
    </w:pPr>
    <w:r>
      <w:rPr>
        <w:rStyle w:val="51"/>
        <w:rFonts w:hint="eastAsia" w:ascii="宋体" w:hAnsi="宋体" w:eastAsia="宋体"/>
        <w:kern w:val="0"/>
        <w:szCs w:val="21"/>
      </w:rPr>
      <w:t xml:space="preserve">第 </w:t>
    </w:r>
    <w:r>
      <w:rPr>
        <w:rStyle w:val="51"/>
        <w:rFonts w:ascii="宋体" w:hAnsi="宋体" w:eastAsia="宋体"/>
        <w:kern w:val="0"/>
        <w:szCs w:val="21"/>
      </w:rPr>
      <w:fldChar w:fldCharType="begin"/>
    </w:r>
    <w:r>
      <w:rPr>
        <w:rStyle w:val="51"/>
        <w:rFonts w:ascii="宋体" w:hAnsi="宋体" w:eastAsia="宋体"/>
        <w:kern w:val="0"/>
        <w:szCs w:val="21"/>
      </w:rPr>
      <w:instrText xml:space="preserve"> PAGE </w:instrText>
    </w:r>
    <w:r>
      <w:rPr>
        <w:rStyle w:val="51"/>
        <w:rFonts w:ascii="宋体" w:hAnsi="宋体" w:eastAsia="宋体"/>
        <w:kern w:val="0"/>
        <w:szCs w:val="21"/>
      </w:rPr>
      <w:fldChar w:fldCharType="separate"/>
    </w:r>
    <w:r>
      <w:rPr>
        <w:rStyle w:val="51"/>
        <w:rFonts w:ascii="宋体" w:hAnsi="宋体" w:eastAsia="宋体"/>
        <w:kern w:val="0"/>
        <w:szCs w:val="21"/>
      </w:rPr>
      <w:t>1</w:t>
    </w:r>
    <w:r>
      <w:rPr>
        <w:rStyle w:val="51"/>
        <w:rFonts w:ascii="宋体" w:hAnsi="宋体" w:eastAsia="宋体"/>
        <w:kern w:val="0"/>
        <w:szCs w:val="21"/>
      </w:rPr>
      <w:fldChar w:fldCharType="end"/>
    </w:r>
    <w:r>
      <w:rPr>
        <w:rStyle w:val="51"/>
        <w:rFonts w:hint="eastAsia" w:ascii="宋体" w:hAnsi="宋体" w:eastAsia="宋体"/>
        <w:kern w:val="0"/>
        <w:szCs w:val="21"/>
      </w:rPr>
      <w:t xml:space="preserve"> 页</w:t>
    </w:r>
  </w:p>
  <w:p w14:paraId="4913D43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7C59">
    <w:pPr>
      <w:pStyle w:val="29"/>
      <w:rPr>
        <w:rFonts w:ascii="宋体" w:hAnsi="宋体" w:eastAsia="宋体"/>
      </w:rPr>
    </w:pPr>
    <w:r>
      <w:rPr>
        <w:rFonts w:hint="eastAsia" w:ascii="宋体" w:hAns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0F35">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E00EE">
    <w:pPr>
      <w:pStyle w:val="29"/>
      <w:jc w:val="both"/>
      <w:rPr>
        <w:rFonts w:eastAsia="宋体"/>
      </w:rPr>
    </w:pPr>
    <w:r>
      <w:rPr>
        <w:rFonts w:hint="eastAsia" w:ascii="宋体" w:hAnsi="宋体" w:eastAsia="宋体"/>
      </w:rPr>
      <w:t>招标编号：</w:t>
    </w:r>
    <w:r>
      <w:rPr>
        <w:rFonts w:hint="eastAsia" w:ascii="宋体" w:hAnsi="宋体" w:eastAsia="宋体"/>
        <w:lang w:eastAsia="zh-CN"/>
      </w:rPr>
      <w:t>SCGZ招【2025】12-02号</w:t>
    </w:r>
    <w:r>
      <w:rPr>
        <w:rFonts w:hint="eastAsia" w:ascii="宋体" w:hAnsi="宋体" w:eastAsia="宋体"/>
      </w:rPr>
      <w:t xml:space="preserve"> </w:t>
    </w:r>
    <w:r>
      <w:rPr>
        <w:rFonts w:hint="eastAsia" w:ascii="宋体" w:hAnsi="宋体" w:eastAsia="宋体" w:cs="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C5A4B">
    <w:pPr>
      <w:pStyle w:val="29"/>
      <w:jc w:val="both"/>
      <w:rPr>
        <w:rFonts w:eastAsia="宋体"/>
      </w:rPr>
    </w:pPr>
    <w:r>
      <w:rPr>
        <w:rFonts w:hint="eastAsia" w:ascii="宋体" w:hAnsi="宋体" w:eastAsia="宋体"/>
      </w:rPr>
      <w:t>招标编号：</w:t>
    </w:r>
    <w:r>
      <w:rPr>
        <w:rFonts w:hint="eastAsia" w:ascii="宋体" w:hAnsi="宋体" w:eastAsia="宋体"/>
        <w:lang w:eastAsia="zh-CN"/>
      </w:rPr>
      <w:t>SCGZ招【2025】12-02号</w:t>
    </w:r>
    <w:r>
      <w:rPr>
        <w:rFonts w:hint="eastAsia" w:ascii="宋体" w:hAns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C5EF80D"/>
    <w:multiLevelType w:val="singleLevel"/>
    <w:tmpl w:val="EC5EF80D"/>
    <w:lvl w:ilvl="0" w:tentative="0">
      <w:start w:val="4"/>
      <w:numFmt w:val="decimal"/>
      <w:suff w:val="space"/>
      <w:lvlText w:val="%1."/>
      <w:lvlJc w:val="left"/>
    </w:lvl>
  </w:abstractNum>
  <w:abstractNum w:abstractNumId="2">
    <w:nsid w:val="083C1EF8"/>
    <w:multiLevelType w:val="multilevel"/>
    <w:tmpl w:val="083C1EF8"/>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98F63ED"/>
    <w:multiLevelType w:val="multilevel"/>
    <w:tmpl w:val="098F63E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0DA82A87"/>
    <w:multiLevelType w:val="multilevel"/>
    <w:tmpl w:val="0DA82A87"/>
    <w:lvl w:ilvl="0" w:tentative="0">
      <w:start w:val="1"/>
      <w:numFmt w:val="none"/>
      <w:pStyle w:val="329"/>
      <w:suff w:val="nothing"/>
      <w:lvlText w:val="示例："/>
      <w:lvlJc w:val="left"/>
      <w:pPr>
        <w:ind w:left="0" w:firstLine="499"/>
      </w:pPr>
      <w:rPr>
        <w:rFonts w:hint="eastAsia" w:ascii="宋体" w:eastAsia="宋体"/>
        <w:sz w:val="21"/>
        <w:szCs w:val="18"/>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E9E68CD"/>
    <w:multiLevelType w:val="multilevel"/>
    <w:tmpl w:val="0E9E68CD"/>
    <w:lvl w:ilvl="0" w:tentative="0">
      <w:start w:val="1"/>
      <w:numFmt w:val="lowerLetter"/>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6">
    <w:nsid w:val="13420550"/>
    <w:multiLevelType w:val="multilevel"/>
    <w:tmpl w:val="13420550"/>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14715C1C"/>
    <w:multiLevelType w:val="multilevel"/>
    <w:tmpl w:val="14715C1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17221B5D"/>
    <w:multiLevelType w:val="multilevel"/>
    <w:tmpl w:val="17221B5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17402700"/>
    <w:multiLevelType w:val="multilevel"/>
    <w:tmpl w:val="17402700"/>
    <w:lvl w:ilvl="0" w:tentative="0">
      <w:start w:val="1"/>
      <w:numFmt w:val="bullet"/>
      <w:pStyle w:val="326"/>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17B07378"/>
    <w:multiLevelType w:val="multilevel"/>
    <w:tmpl w:val="17B07378"/>
    <w:lvl w:ilvl="0" w:tentative="0">
      <w:start w:val="1"/>
      <w:numFmt w:val="none"/>
      <w:lvlText w:val="%1"/>
      <w:lvlJc w:val="left"/>
      <w:pPr>
        <w:ind w:left="0" w:firstLine="0"/>
      </w:pPr>
      <w:rPr>
        <w:rFonts w:hint="eastAsia"/>
      </w:rPr>
    </w:lvl>
    <w:lvl w:ilvl="1" w:tentative="0">
      <w:start w:val="1"/>
      <w:numFmt w:val="decimal"/>
      <w:pStyle w:val="246"/>
      <w:suff w:val="space"/>
      <w:lvlText w:val="%1%2 "/>
      <w:lvlJc w:val="left"/>
      <w:pPr>
        <w:ind w:left="0" w:firstLine="0"/>
      </w:pPr>
      <w:rPr>
        <w:rFonts w:hint="eastAsia" w:ascii="黑体" w:eastAsia="黑体"/>
        <w:b w:val="0"/>
        <w:i w:val="0"/>
        <w:sz w:val="28"/>
      </w:rPr>
    </w:lvl>
    <w:lvl w:ilvl="2" w:tentative="0">
      <w:start w:val="1"/>
      <w:numFmt w:val="decimal"/>
      <w:pStyle w:val="309"/>
      <w:suff w:val="space"/>
      <w:lvlText w:val="%1%2.%3 "/>
      <w:lvlJc w:val="left"/>
      <w:pPr>
        <w:ind w:left="0" w:firstLine="0"/>
      </w:pPr>
      <w:rPr>
        <w:rFonts w:hint="eastAsia" w:ascii="黑体" w:eastAsia="黑体"/>
        <w:b w:val="0"/>
        <w:i w:val="0"/>
        <w:sz w:val="28"/>
      </w:rPr>
    </w:lvl>
    <w:lvl w:ilvl="3" w:tentative="0">
      <w:start w:val="1"/>
      <w:numFmt w:val="decimal"/>
      <w:pStyle w:val="299"/>
      <w:suff w:val="space"/>
      <w:lvlText w:val="%1%2.%3.%4 "/>
      <w:lvlJc w:val="left"/>
      <w:pPr>
        <w:ind w:left="0" w:firstLine="0"/>
      </w:pPr>
      <w:rPr>
        <w:rFonts w:hint="eastAsia" w:ascii="黑体" w:eastAsia="黑体"/>
        <w:b w:val="0"/>
        <w:i w:val="0"/>
        <w:sz w:val="28"/>
      </w:rPr>
    </w:lvl>
    <w:lvl w:ilvl="4" w:tentative="0">
      <w:start w:val="1"/>
      <w:numFmt w:val="decimal"/>
      <w:pStyle w:val="323"/>
      <w:suff w:val="space"/>
      <w:lvlText w:val="%2.%3.%4.%5 "/>
      <w:lvlJc w:val="left"/>
      <w:pPr>
        <w:ind w:left="0" w:firstLine="0"/>
      </w:pPr>
      <w:rPr>
        <w:rFonts w:hint="eastAsia" w:ascii="黑体" w:eastAsia="黑体"/>
        <w:b w:val="0"/>
        <w:i w:val="0"/>
        <w:sz w:val="28"/>
      </w:rPr>
    </w:lvl>
    <w:lvl w:ilvl="5" w:tentative="0">
      <w:start w:val="1"/>
      <w:numFmt w:val="decimal"/>
      <w:pStyle w:val="311"/>
      <w:suff w:val="space"/>
      <w:lvlText w:val="%1%2.%3.%4.%5.%6 "/>
      <w:lvlJc w:val="left"/>
      <w:pPr>
        <w:ind w:left="0" w:firstLine="0"/>
      </w:pPr>
      <w:rPr>
        <w:rFonts w:hint="eastAsia" w:ascii="黑体" w:eastAsia="黑体"/>
        <w:b w:val="0"/>
        <w:i w:val="0"/>
        <w:sz w:val="28"/>
      </w:rPr>
    </w:lvl>
    <w:lvl w:ilvl="6" w:tentative="0">
      <w:start w:val="1"/>
      <w:numFmt w:val="decimal"/>
      <w:pStyle w:val="314"/>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
    <w:nsid w:val="18C20FEA"/>
    <w:multiLevelType w:val="multilevel"/>
    <w:tmpl w:val="18C20FEA"/>
    <w:lvl w:ilvl="0" w:tentative="0">
      <w:start w:val="1"/>
      <w:numFmt w:val="lowerLetter"/>
      <w:pStyle w:val="259"/>
      <w:lvlText w:val="%1)"/>
      <w:lvlJc w:val="left"/>
      <w:pPr>
        <w:ind w:left="964" w:hanging="482"/>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lvlText w:val="%1.%2"/>
      <w:lvlJc w:val="left"/>
      <w:pPr>
        <w:ind w:left="1077" w:hanging="510"/>
      </w:pPr>
      <w:rPr>
        <w:rFonts w:hint="eastAsia"/>
      </w:rPr>
    </w:lvl>
    <w:lvl w:ilvl="2" w:tentative="0">
      <w:start w:val="1"/>
      <w:numFmt w:val="decimal"/>
      <w:lvlText w:val="%1.%2.%3"/>
      <w:lvlJc w:val="left"/>
      <w:pPr>
        <w:ind w:left="1077" w:hanging="510"/>
      </w:pPr>
      <w:rPr>
        <w:rFonts w:hint="eastAsia"/>
      </w:rPr>
    </w:lvl>
    <w:lvl w:ilvl="3" w:tentative="0">
      <w:start w:val="1"/>
      <w:numFmt w:val="decimal"/>
      <w:lvlText w:val="%1.%2.%3.%4"/>
      <w:lvlJc w:val="left"/>
      <w:pPr>
        <w:ind w:left="1077" w:hanging="510"/>
      </w:pPr>
      <w:rPr>
        <w:rFonts w:hint="eastAsia"/>
      </w:rPr>
    </w:lvl>
    <w:lvl w:ilvl="4" w:tentative="0">
      <w:start w:val="1"/>
      <w:numFmt w:val="decimal"/>
      <w:lvlText w:val="%1.%2.%3.%4.%5"/>
      <w:lvlJc w:val="left"/>
      <w:pPr>
        <w:ind w:left="1077" w:hanging="510"/>
      </w:pPr>
      <w:rPr>
        <w:rFonts w:hint="eastAsia"/>
      </w:rPr>
    </w:lvl>
    <w:lvl w:ilvl="5" w:tentative="0">
      <w:start w:val="1"/>
      <w:numFmt w:val="decimal"/>
      <w:lvlText w:val="%1.%2.%3.%4.%5.%6"/>
      <w:lvlJc w:val="left"/>
      <w:pPr>
        <w:ind w:left="1077" w:hanging="510"/>
      </w:pPr>
      <w:rPr>
        <w:rFonts w:hint="eastAsia"/>
      </w:rPr>
    </w:lvl>
    <w:lvl w:ilvl="6" w:tentative="0">
      <w:start w:val="1"/>
      <w:numFmt w:val="decimal"/>
      <w:lvlText w:val="%1.%2.%3.%4.%5.%6.%7"/>
      <w:lvlJc w:val="left"/>
      <w:pPr>
        <w:ind w:left="1077" w:hanging="510"/>
      </w:pPr>
      <w:rPr>
        <w:rFonts w:hint="eastAsia"/>
      </w:rPr>
    </w:lvl>
    <w:lvl w:ilvl="7" w:tentative="0">
      <w:start w:val="1"/>
      <w:numFmt w:val="decimal"/>
      <w:lvlText w:val="%1.%2.%3.%4.%5.%6.%7.%8"/>
      <w:lvlJc w:val="left"/>
      <w:pPr>
        <w:ind w:left="1077" w:hanging="510"/>
      </w:pPr>
      <w:rPr>
        <w:rFonts w:hint="eastAsia"/>
      </w:rPr>
    </w:lvl>
    <w:lvl w:ilvl="8" w:tentative="0">
      <w:start w:val="1"/>
      <w:numFmt w:val="decimal"/>
      <w:lvlText w:val="%1.%2.%3.%4.%5.%6.%7.%8.%9"/>
      <w:lvlJc w:val="left"/>
      <w:pPr>
        <w:ind w:left="1077" w:hanging="510"/>
      </w:pPr>
      <w:rPr>
        <w:rFonts w:hint="eastAsia"/>
      </w:rPr>
    </w:lvl>
  </w:abstractNum>
  <w:abstractNum w:abstractNumId="12">
    <w:nsid w:val="1C1D2E3D"/>
    <w:multiLevelType w:val="multilevel"/>
    <w:tmpl w:val="1C1D2E3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1F3272DF"/>
    <w:multiLevelType w:val="multilevel"/>
    <w:tmpl w:val="1F3272DF"/>
    <w:lvl w:ilvl="0" w:tentative="0">
      <w:start w:val="1"/>
      <w:numFmt w:val="none"/>
      <w:pStyle w:val="212"/>
      <w:suff w:val="nothing"/>
      <w:lvlText w:val="注："/>
      <w:lvlJc w:val="left"/>
      <w:pPr>
        <w:ind w:left="919" w:hanging="420"/>
      </w:pPr>
      <w:rPr>
        <w:rFonts w:hint="eastAsia" w:ascii="宋体" w:hAns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24586F22"/>
    <w:multiLevelType w:val="multilevel"/>
    <w:tmpl w:val="24586F2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26D0319C"/>
    <w:multiLevelType w:val="multilevel"/>
    <w:tmpl w:val="26D0319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297223AB"/>
    <w:multiLevelType w:val="multilevel"/>
    <w:tmpl w:val="297223A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2E4842D9"/>
    <w:multiLevelType w:val="multilevel"/>
    <w:tmpl w:val="2E4842D9"/>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8">
    <w:nsid w:val="2F5630AF"/>
    <w:multiLevelType w:val="multilevel"/>
    <w:tmpl w:val="2F5630AF"/>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31083347"/>
    <w:multiLevelType w:val="multilevel"/>
    <w:tmpl w:val="31083347"/>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32616D3B"/>
    <w:multiLevelType w:val="multilevel"/>
    <w:tmpl w:val="32616D3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32F11353"/>
    <w:multiLevelType w:val="multilevel"/>
    <w:tmpl w:val="32F11353"/>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330E5504"/>
    <w:multiLevelType w:val="multilevel"/>
    <w:tmpl w:val="330E5504"/>
    <w:lvl w:ilvl="0" w:tentative="0">
      <w:start w:val="1"/>
      <w:numFmt w:val="decimal"/>
      <w:pStyle w:val="273"/>
      <w:suff w:val="nothing"/>
      <w:lvlText w:val="示例 %1："/>
      <w:lvlJc w:val="left"/>
      <w:pPr>
        <w:ind w:left="0" w:firstLine="499"/>
      </w:pPr>
      <w:rPr>
        <w:rFonts w:hint="eastAsia" w:asci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3">
    <w:nsid w:val="338111C6"/>
    <w:multiLevelType w:val="multilevel"/>
    <w:tmpl w:val="338111C6"/>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36370782"/>
    <w:multiLevelType w:val="multilevel"/>
    <w:tmpl w:val="3637078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37DC2A6A"/>
    <w:multiLevelType w:val="multilevel"/>
    <w:tmpl w:val="37DC2A6A"/>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6">
    <w:nsid w:val="38C066F4"/>
    <w:multiLevelType w:val="multilevel"/>
    <w:tmpl w:val="38C066F4"/>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7">
    <w:nsid w:val="39CC7EA8"/>
    <w:multiLevelType w:val="multilevel"/>
    <w:tmpl w:val="39CC7EA8"/>
    <w:lvl w:ilvl="0" w:tentative="0">
      <w:start w:val="1"/>
      <w:numFmt w:val="decimal"/>
      <w:pStyle w:val="256"/>
      <w:suff w:val="nothing"/>
      <w:lvlText w:val="注 %1："/>
      <w:lvlJc w:val="left"/>
      <w:pPr>
        <w:ind w:left="1077" w:hanging="578"/>
      </w:pPr>
      <w:rPr>
        <w:rFonts w:hint="eastAsia"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8">
    <w:nsid w:val="3BB97906"/>
    <w:multiLevelType w:val="multilevel"/>
    <w:tmpl w:val="3BB97906"/>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9">
    <w:nsid w:val="3C3B69B0"/>
    <w:multiLevelType w:val="multilevel"/>
    <w:tmpl w:val="3C3B69B0"/>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0">
    <w:nsid w:val="3CA542D3"/>
    <w:multiLevelType w:val="multilevel"/>
    <w:tmpl w:val="3CA542D3"/>
    <w:lvl w:ilvl="0" w:tentative="0">
      <w:start w:val="1"/>
      <w:numFmt w:val="none"/>
      <w:pStyle w:val="328"/>
      <w:lvlText w:val="--"/>
      <w:lvlJc w:val="left"/>
      <w:pPr>
        <w:ind w:left="1916" w:hanging="470"/>
      </w:pPr>
      <w:rPr>
        <w:rFonts w:hint="eastAsia" w:ascii="宋体" w:hAnsi="宋体" w:eastAsia="宋体"/>
        <w:sz w:val="24"/>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1">
    <w:nsid w:val="3E6E53A3"/>
    <w:multiLevelType w:val="multilevel"/>
    <w:tmpl w:val="3E6E53A3"/>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2">
    <w:nsid w:val="42101C4C"/>
    <w:multiLevelType w:val="multilevel"/>
    <w:tmpl w:val="42101C4C"/>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3">
    <w:nsid w:val="45021B3A"/>
    <w:multiLevelType w:val="multilevel"/>
    <w:tmpl w:val="45021B3A"/>
    <w:lvl w:ilvl="0" w:tentative="0">
      <w:start w:val="1"/>
      <w:numFmt w:val="decimal"/>
      <w:pStyle w:val="138"/>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34">
    <w:nsid w:val="47A829C0"/>
    <w:multiLevelType w:val="multilevel"/>
    <w:tmpl w:val="47A829C0"/>
    <w:lvl w:ilvl="0" w:tentative="0">
      <w:start w:val="1"/>
      <w:numFmt w:val="decimal"/>
      <w:pStyle w:val="319"/>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40"/>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39"/>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38"/>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37"/>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36"/>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35">
    <w:nsid w:val="4CA05FB2"/>
    <w:multiLevelType w:val="multilevel"/>
    <w:tmpl w:val="4CA05FB2"/>
    <w:lvl w:ilvl="0" w:tentative="0">
      <w:start w:val="1"/>
      <w:numFmt w:val="decimal"/>
      <w:pStyle w:val="252"/>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36">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61"/>
      <w:lvlText w:val="%9."/>
      <w:lvlJc w:val="right"/>
      <w:pPr>
        <w:tabs>
          <w:tab w:val="left" w:pos="3780"/>
        </w:tabs>
        <w:ind w:left="3780" w:hanging="420"/>
      </w:pPr>
    </w:lvl>
  </w:abstractNum>
  <w:abstractNum w:abstractNumId="37">
    <w:nsid w:val="52A83814"/>
    <w:multiLevelType w:val="multilevel"/>
    <w:tmpl w:val="52A83814"/>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8">
    <w:nsid w:val="546A1CFC"/>
    <w:multiLevelType w:val="multilevel"/>
    <w:tmpl w:val="546A1CFC"/>
    <w:lvl w:ilvl="0" w:tentative="0">
      <w:start w:val="1"/>
      <w:numFmt w:val="chineseCountingThousand"/>
      <w:pStyle w:val="257"/>
      <w:suff w:val="nothing"/>
      <w:lvlText w:val="%1、"/>
      <w:lvlJc w:val="center"/>
      <w:pPr>
        <w:ind w:left="0" w:firstLine="288"/>
      </w:pPr>
      <w:rPr>
        <w:rFonts w:hint="default"/>
      </w:rPr>
    </w:lvl>
    <w:lvl w:ilvl="1" w:tentative="0">
      <w:start w:val="1"/>
      <w:numFmt w:val="decimal"/>
      <w:pStyle w:val="292"/>
      <w:isLgl/>
      <w:suff w:val="space"/>
      <w:lvlText w:val="%1.%2．"/>
      <w:lvlJc w:val="left"/>
      <w:pPr>
        <w:ind w:left="170" w:hanging="170"/>
      </w:pPr>
      <w:rPr>
        <w:rFonts w:hint="eastAsia"/>
      </w:rPr>
    </w:lvl>
    <w:lvl w:ilvl="2" w:tentative="0">
      <w:start w:val="1"/>
      <w:numFmt w:val="decimal"/>
      <w:pStyle w:val="278"/>
      <w:isLgl/>
      <w:suff w:val="space"/>
      <w:lvlText w:val="%1.%2.%3"/>
      <w:lvlJc w:val="left"/>
      <w:pPr>
        <w:ind w:left="0" w:firstLine="0"/>
      </w:pPr>
      <w:rPr>
        <w:rFonts w:hint="default"/>
      </w:rPr>
    </w:lvl>
    <w:lvl w:ilvl="3" w:tentative="0">
      <w:start w:val="1"/>
      <w:numFmt w:val="upperRoman"/>
      <w:pStyle w:val="286"/>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9">
    <w:nsid w:val="55C35B72"/>
    <w:multiLevelType w:val="multilevel"/>
    <w:tmpl w:val="55C35B7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0">
    <w:nsid w:val="59183E6D"/>
    <w:multiLevelType w:val="multilevel"/>
    <w:tmpl w:val="59183E6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1">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42">
    <w:nsid w:val="5AD45013"/>
    <w:multiLevelType w:val="multilevel"/>
    <w:tmpl w:val="5AD45013"/>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3">
    <w:nsid w:val="640E2C64"/>
    <w:multiLevelType w:val="multilevel"/>
    <w:tmpl w:val="640E2C64"/>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65704A4A"/>
    <w:multiLevelType w:val="multilevel"/>
    <w:tmpl w:val="65704A4A"/>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5">
    <w:nsid w:val="66214586"/>
    <w:multiLevelType w:val="multilevel"/>
    <w:tmpl w:val="66214586"/>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6">
    <w:nsid w:val="66934FC7"/>
    <w:multiLevelType w:val="multilevel"/>
    <w:tmpl w:val="66934FC7"/>
    <w:lvl w:ilvl="0" w:tentative="0">
      <w:start w:val="1"/>
      <w:numFmt w:val="lowerLetter"/>
      <w:lvlText w:val="%1)"/>
      <w:lvlJc w:val="left"/>
      <w:pPr>
        <w:ind w:left="1280" w:hanging="440"/>
      </w:p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47">
    <w:nsid w:val="678A74D2"/>
    <w:multiLevelType w:val="multilevel"/>
    <w:tmpl w:val="678A74D2"/>
    <w:lvl w:ilvl="0" w:tentative="0">
      <w:start w:val="1"/>
      <w:numFmt w:val="decimal"/>
      <w:pStyle w:val="281"/>
      <w:lvlText w:val="%1)"/>
      <w:lvlJc w:val="left"/>
      <w:pPr>
        <w:ind w:left="1435" w:hanging="471"/>
      </w:pPr>
      <w:rPr>
        <w:rFonts w:hint="eastAsia" w:eastAsia="宋体"/>
        <w:sz w:val="24"/>
        <w:lang w:eastAsia="zh-CN"/>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48">
    <w:nsid w:val="688E4D96"/>
    <w:multiLevelType w:val="multilevel"/>
    <w:tmpl w:val="688E4D96"/>
    <w:lvl w:ilvl="0" w:tentative="0">
      <w:start w:val="1"/>
      <w:numFmt w:val="lowerLetter"/>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9">
    <w:nsid w:val="6A242BCE"/>
    <w:multiLevelType w:val="multilevel"/>
    <w:tmpl w:val="6A242BCE"/>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0">
    <w:nsid w:val="6B6A0E09"/>
    <w:multiLevelType w:val="multilevel"/>
    <w:tmpl w:val="6B6A0E09"/>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1">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52">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3">
    <w:nsid w:val="71687E5A"/>
    <w:multiLevelType w:val="multilevel"/>
    <w:tmpl w:val="71687E5A"/>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4">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74"/>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5">
    <w:nsid w:val="789A7BD8"/>
    <w:multiLevelType w:val="multilevel"/>
    <w:tmpl w:val="789A7BD8"/>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6">
    <w:nsid w:val="7A637BE0"/>
    <w:multiLevelType w:val="multilevel"/>
    <w:tmpl w:val="7A637BE0"/>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7">
    <w:nsid w:val="7B483B26"/>
    <w:multiLevelType w:val="multilevel"/>
    <w:tmpl w:val="7B483B26"/>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8">
    <w:nsid w:val="7DB30DB2"/>
    <w:multiLevelType w:val="multilevel"/>
    <w:tmpl w:val="7DB30DB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1"/>
  </w:num>
  <w:num w:numId="2">
    <w:abstractNumId w:val="41"/>
  </w:num>
  <w:num w:numId="3">
    <w:abstractNumId w:val="32"/>
  </w:num>
  <w:num w:numId="4">
    <w:abstractNumId w:val="33"/>
  </w:num>
  <w:num w:numId="5">
    <w:abstractNumId w:val="13"/>
  </w:num>
  <w:num w:numId="6">
    <w:abstractNumId w:val="34"/>
  </w:num>
  <w:num w:numId="7">
    <w:abstractNumId w:val="10"/>
  </w:num>
  <w:num w:numId="8">
    <w:abstractNumId w:val="35"/>
  </w:num>
  <w:num w:numId="9">
    <w:abstractNumId w:val="27"/>
  </w:num>
  <w:num w:numId="10">
    <w:abstractNumId w:val="38"/>
  </w:num>
  <w:num w:numId="11">
    <w:abstractNumId w:val="11"/>
  </w:num>
  <w:num w:numId="12">
    <w:abstractNumId w:val="36"/>
  </w:num>
  <w:num w:numId="13">
    <w:abstractNumId w:val="22"/>
  </w:num>
  <w:num w:numId="14">
    <w:abstractNumId w:val="54"/>
  </w:num>
  <w:num w:numId="15">
    <w:abstractNumId w:val="47"/>
  </w:num>
  <w:num w:numId="16">
    <w:abstractNumId w:val="9"/>
  </w:num>
  <w:num w:numId="17">
    <w:abstractNumId w:val="30"/>
  </w:num>
  <w:num w:numId="18">
    <w:abstractNumId w:val="4"/>
  </w:num>
  <w:num w:numId="19">
    <w:abstractNumId w:val="1"/>
  </w:num>
  <w:num w:numId="20">
    <w:abstractNumId w:val="21"/>
  </w:num>
  <w:num w:numId="21">
    <w:abstractNumId w:val="29"/>
  </w:num>
  <w:num w:numId="22">
    <w:abstractNumId w:val="17"/>
  </w:num>
  <w:num w:numId="23">
    <w:abstractNumId w:val="37"/>
  </w:num>
  <w:num w:numId="24">
    <w:abstractNumId w:val="28"/>
  </w:num>
  <w:num w:numId="25">
    <w:abstractNumId w:val="56"/>
  </w:num>
  <w:num w:numId="26">
    <w:abstractNumId w:val="7"/>
  </w:num>
  <w:num w:numId="27">
    <w:abstractNumId w:val="24"/>
  </w:num>
  <w:num w:numId="28">
    <w:abstractNumId w:val="18"/>
  </w:num>
  <w:num w:numId="29">
    <w:abstractNumId w:val="58"/>
  </w:num>
  <w:num w:numId="30">
    <w:abstractNumId w:val="31"/>
  </w:num>
  <w:num w:numId="31">
    <w:abstractNumId w:val="57"/>
  </w:num>
  <w:num w:numId="32">
    <w:abstractNumId w:val="26"/>
  </w:num>
  <w:num w:numId="33">
    <w:abstractNumId w:val="40"/>
  </w:num>
  <w:num w:numId="34">
    <w:abstractNumId w:val="45"/>
  </w:num>
  <w:num w:numId="35">
    <w:abstractNumId w:val="15"/>
  </w:num>
  <w:num w:numId="36">
    <w:abstractNumId w:val="43"/>
  </w:num>
  <w:num w:numId="37">
    <w:abstractNumId w:val="42"/>
  </w:num>
  <w:num w:numId="38">
    <w:abstractNumId w:val="49"/>
  </w:num>
  <w:num w:numId="39">
    <w:abstractNumId w:val="23"/>
  </w:num>
  <w:num w:numId="40">
    <w:abstractNumId w:val="19"/>
  </w:num>
  <w:num w:numId="41">
    <w:abstractNumId w:val="6"/>
  </w:num>
  <w:num w:numId="42">
    <w:abstractNumId w:val="3"/>
  </w:num>
  <w:num w:numId="43">
    <w:abstractNumId w:val="14"/>
  </w:num>
  <w:num w:numId="44">
    <w:abstractNumId w:val="16"/>
  </w:num>
  <w:num w:numId="45">
    <w:abstractNumId w:val="8"/>
  </w:num>
  <w:num w:numId="46">
    <w:abstractNumId w:val="20"/>
  </w:num>
  <w:num w:numId="47">
    <w:abstractNumId w:val="50"/>
  </w:num>
  <w:num w:numId="48">
    <w:abstractNumId w:val="25"/>
  </w:num>
  <w:num w:numId="49">
    <w:abstractNumId w:val="46"/>
  </w:num>
  <w:num w:numId="50">
    <w:abstractNumId w:val="2"/>
  </w:num>
  <w:num w:numId="51">
    <w:abstractNumId w:val="53"/>
  </w:num>
  <w:num w:numId="52">
    <w:abstractNumId w:val="44"/>
  </w:num>
  <w:num w:numId="53">
    <w:abstractNumId w:val="39"/>
  </w:num>
  <w:num w:numId="54">
    <w:abstractNumId w:val="55"/>
  </w:num>
  <w:num w:numId="55">
    <w:abstractNumId w:val="12"/>
  </w:num>
  <w:num w:numId="56">
    <w:abstractNumId w:val="5"/>
  </w:num>
  <w:num w:numId="57">
    <w:abstractNumId w:val="48"/>
  </w:num>
  <w:num w:numId="58">
    <w:abstractNumId w:val="52"/>
  </w:num>
  <w:num w:numId="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88B"/>
    <w:rsid w:val="00000269"/>
    <w:rsid w:val="00002C53"/>
    <w:rsid w:val="00002E71"/>
    <w:rsid w:val="00002F1E"/>
    <w:rsid w:val="00003315"/>
    <w:rsid w:val="0000369D"/>
    <w:rsid w:val="0000460D"/>
    <w:rsid w:val="000053B5"/>
    <w:rsid w:val="00006142"/>
    <w:rsid w:val="00010765"/>
    <w:rsid w:val="000108FB"/>
    <w:rsid w:val="000137BA"/>
    <w:rsid w:val="00014152"/>
    <w:rsid w:val="00014B97"/>
    <w:rsid w:val="00015F55"/>
    <w:rsid w:val="00020935"/>
    <w:rsid w:val="00021F9F"/>
    <w:rsid w:val="00022523"/>
    <w:rsid w:val="00023908"/>
    <w:rsid w:val="000245CA"/>
    <w:rsid w:val="0002699D"/>
    <w:rsid w:val="00027C7B"/>
    <w:rsid w:val="0003177C"/>
    <w:rsid w:val="00031DE2"/>
    <w:rsid w:val="00032885"/>
    <w:rsid w:val="00033DEB"/>
    <w:rsid w:val="0003423C"/>
    <w:rsid w:val="00035FC3"/>
    <w:rsid w:val="000368B1"/>
    <w:rsid w:val="00040EBA"/>
    <w:rsid w:val="00041268"/>
    <w:rsid w:val="00041E62"/>
    <w:rsid w:val="00042319"/>
    <w:rsid w:val="00042377"/>
    <w:rsid w:val="0004336F"/>
    <w:rsid w:val="00043E13"/>
    <w:rsid w:val="00046BEB"/>
    <w:rsid w:val="00046C9E"/>
    <w:rsid w:val="0005270A"/>
    <w:rsid w:val="00053BC3"/>
    <w:rsid w:val="00053F2C"/>
    <w:rsid w:val="00056BCA"/>
    <w:rsid w:val="0005743C"/>
    <w:rsid w:val="00057786"/>
    <w:rsid w:val="0006113B"/>
    <w:rsid w:val="00061880"/>
    <w:rsid w:val="0006219F"/>
    <w:rsid w:val="000625D1"/>
    <w:rsid w:val="00063022"/>
    <w:rsid w:val="00063370"/>
    <w:rsid w:val="00064746"/>
    <w:rsid w:val="00066BAD"/>
    <w:rsid w:val="00070080"/>
    <w:rsid w:val="000702FC"/>
    <w:rsid w:val="000704C9"/>
    <w:rsid w:val="00071FEC"/>
    <w:rsid w:val="00073150"/>
    <w:rsid w:val="000742F7"/>
    <w:rsid w:val="000743F5"/>
    <w:rsid w:val="00075A1C"/>
    <w:rsid w:val="00075ABA"/>
    <w:rsid w:val="000764C5"/>
    <w:rsid w:val="0007773B"/>
    <w:rsid w:val="00080AB1"/>
    <w:rsid w:val="00080C0C"/>
    <w:rsid w:val="00082241"/>
    <w:rsid w:val="00083320"/>
    <w:rsid w:val="00084041"/>
    <w:rsid w:val="00085327"/>
    <w:rsid w:val="00090435"/>
    <w:rsid w:val="00090E89"/>
    <w:rsid w:val="000914C8"/>
    <w:rsid w:val="00095E44"/>
    <w:rsid w:val="000A0067"/>
    <w:rsid w:val="000A0180"/>
    <w:rsid w:val="000A0CEC"/>
    <w:rsid w:val="000A1980"/>
    <w:rsid w:val="000A2885"/>
    <w:rsid w:val="000A40E0"/>
    <w:rsid w:val="000A4D1B"/>
    <w:rsid w:val="000A4D8A"/>
    <w:rsid w:val="000A68FB"/>
    <w:rsid w:val="000A6A8C"/>
    <w:rsid w:val="000B0EC1"/>
    <w:rsid w:val="000B1665"/>
    <w:rsid w:val="000B43C0"/>
    <w:rsid w:val="000B4403"/>
    <w:rsid w:val="000B47BE"/>
    <w:rsid w:val="000B5C50"/>
    <w:rsid w:val="000B5E87"/>
    <w:rsid w:val="000B6659"/>
    <w:rsid w:val="000B74EF"/>
    <w:rsid w:val="000B7950"/>
    <w:rsid w:val="000C2229"/>
    <w:rsid w:val="000C4927"/>
    <w:rsid w:val="000C4F5E"/>
    <w:rsid w:val="000C50AE"/>
    <w:rsid w:val="000C6E27"/>
    <w:rsid w:val="000C7325"/>
    <w:rsid w:val="000C74B2"/>
    <w:rsid w:val="000C7AC6"/>
    <w:rsid w:val="000D14B7"/>
    <w:rsid w:val="000D1E2A"/>
    <w:rsid w:val="000D1F98"/>
    <w:rsid w:val="000D20C0"/>
    <w:rsid w:val="000D26F0"/>
    <w:rsid w:val="000D34F0"/>
    <w:rsid w:val="000D4E47"/>
    <w:rsid w:val="000D4FE0"/>
    <w:rsid w:val="000D5238"/>
    <w:rsid w:val="000D5385"/>
    <w:rsid w:val="000D6390"/>
    <w:rsid w:val="000D6917"/>
    <w:rsid w:val="000D74A5"/>
    <w:rsid w:val="000E1A86"/>
    <w:rsid w:val="000E2A6D"/>
    <w:rsid w:val="000E35B4"/>
    <w:rsid w:val="000E399D"/>
    <w:rsid w:val="000E3DD0"/>
    <w:rsid w:val="000E4B5F"/>
    <w:rsid w:val="000E5796"/>
    <w:rsid w:val="000E7204"/>
    <w:rsid w:val="000E721A"/>
    <w:rsid w:val="000F01AF"/>
    <w:rsid w:val="000F0450"/>
    <w:rsid w:val="000F1034"/>
    <w:rsid w:val="000F2A8A"/>
    <w:rsid w:val="000F33D7"/>
    <w:rsid w:val="000F68B3"/>
    <w:rsid w:val="000F6F63"/>
    <w:rsid w:val="00100087"/>
    <w:rsid w:val="0010026D"/>
    <w:rsid w:val="00100846"/>
    <w:rsid w:val="00100E63"/>
    <w:rsid w:val="0010158A"/>
    <w:rsid w:val="0010209A"/>
    <w:rsid w:val="00104F7C"/>
    <w:rsid w:val="001050CC"/>
    <w:rsid w:val="00105615"/>
    <w:rsid w:val="00106B18"/>
    <w:rsid w:val="00107376"/>
    <w:rsid w:val="00107784"/>
    <w:rsid w:val="001079E5"/>
    <w:rsid w:val="00111196"/>
    <w:rsid w:val="00111A25"/>
    <w:rsid w:val="001122B7"/>
    <w:rsid w:val="001135C7"/>
    <w:rsid w:val="00114190"/>
    <w:rsid w:val="001142B3"/>
    <w:rsid w:val="0011667B"/>
    <w:rsid w:val="00116691"/>
    <w:rsid w:val="001173AF"/>
    <w:rsid w:val="00120041"/>
    <w:rsid w:val="001240D2"/>
    <w:rsid w:val="00124D30"/>
    <w:rsid w:val="00124D65"/>
    <w:rsid w:val="00125A3B"/>
    <w:rsid w:val="001261DD"/>
    <w:rsid w:val="001306D8"/>
    <w:rsid w:val="00131523"/>
    <w:rsid w:val="001328E3"/>
    <w:rsid w:val="001330ED"/>
    <w:rsid w:val="00133824"/>
    <w:rsid w:val="001345E6"/>
    <w:rsid w:val="00134803"/>
    <w:rsid w:val="00135B91"/>
    <w:rsid w:val="00135C6C"/>
    <w:rsid w:val="001369E5"/>
    <w:rsid w:val="00136B3A"/>
    <w:rsid w:val="00140B68"/>
    <w:rsid w:val="00141682"/>
    <w:rsid w:val="001417FC"/>
    <w:rsid w:val="00146A0A"/>
    <w:rsid w:val="00147C2F"/>
    <w:rsid w:val="00150E4A"/>
    <w:rsid w:val="00153AF1"/>
    <w:rsid w:val="00154397"/>
    <w:rsid w:val="00154585"/>
    <w:rsid w:val="0015503D"/>
    <w:rsid w:val="00156902"/>
    <w:rsid w:val="001606CD"/>
    <w:rsid w:val="001619DE"/>
    <w:rsid w:val="001635CF"/>
    <w:rsid w:val="00164002"/>
    <w:rsid w:val="0016748E"/>
    <w:rsid w:val="00167BBA"/>
    <w:rsid w:val="00170159"/>
    <w:rsid w:val="00172771"/>
    <w:rsid w:val="00172BCC"/>
    <w:rsid w:val="00172CC7"/>
    <w:rsid w:val="00173F63"/>
    <w:rsid w:val="001747DB"/>
    <w:rsid w:val="0017515F"/>
    <w:rsid w:val="00175B4C"/>
    <w:rsid w:val="001763FB"/>
    <w:rsid w:val="00177ACC"/>
    <w:rsid w:val="00182837"/>
    <w:rsid w:val="001831E3"/>
    <w:rsid w:val="001832ED"/>
    <w:rsid w:val="001835AD"/>
    <w:rsid w:val="00183E16"/>
    <w:rsid w:val="001844BE"/>
    <w:rsid w:val="00190A03"/>
    <w:rsid w:val="00190A56"/>
    <w:rsid w:val="0019185A"/>
    <w:rsid w:val="00193485"/>
    <w:rsid w:val="00193DEF"/>
    <w:rsid w:val="001940CD"/>
    <w:rsid w:val="0019496B"/>
    <w:rsid w:val="00194DD4"/>
    <w:rsid w:val="001950D1"/>
    <w:rsid w:val="001963F5"/>
    <w:rsid w:val="001A01E8"/>
    <w:rsid w:val="001A1319"/>
    <w:rsid w:val="001A17DE"/>
    <w:rsid w:val="001A1BA1"/>
    <w:rsid w:val="001A236A"/>
    <w:rsid w:val="001A4654"/>
    <w:rsid w:val="001A5271"/>
    <w:rsid w:val="001A5687"/>
    <w:rsid w:val="001A5B15"/>
    <w:rsid w:val="001A5BF2"/>
    <w:rsid w:val="001A639C"/>
    <w:rsid w:val="001A7177"/>
    <w:rsid w:val="001A7AB5"/>
    <w:rsid w:val="001B0200"/>
    <w:rsid w:val="001B16B8"/>
    <w:rsid w:val="001B1A6E"/>
    <w:rsid w:val="001B228C"/>
    <w:rsid w:val="001B236B"/>
    <w:rsid w:val="001B23F5"/>
    <w:rsid w:val="001B2E2B"/>
    <w:rsid w:val="001B3FEB"/>
    <w:rsid w:val="001B4C08"/>
    <w:rsid w:val="001B4EBF"/>
    <w:rsid w:val="001B5070"/>
    <w:rsid w:val="001B54E6"/>
    <w:rsid w:val="001B5773"/>
    <w:rsid w:val="001B5BEA"/>
    <w:rsid w:val="001B6326"/>
    <w:rsid w:val="001B6921"/>
    <w:rsid w:val="001B6BD4"/>
    <w:rsid w:val="001C1538"/>
    <w:rsid w:val="001C26EB"/>
    <w:rsid w:val="001C5046"/>
    <w:rsid w:val="001C6635"/>
    <w:rsid w:val="001D0263"/>
    <w:rsid w:val="001D172E"/>
    <w:rsid w:val="001D1A5B"/>
    <w:rsid w:val="001D28FD"/>
    <w:rsid w:val="001D2AEA"/>
    <w:rsid w:val="001D2DD5"/>
    <w:rsid w:val="001D2F1A"/>
    <w:rsid w:val="001D40D7"/>
    <w:rsid w:val="001D4252"/>
    <w:rsid w:val="001D500F"/>
    <w:rsid w:val="001D60CE"/>
    <w:rsid w:val="001E0625"/>
    <w:rsid w:val="001E067A"/>
    <w:rsid w:val="001E28ED"/>
    <w:rsid w:val="001E373F"/>
    <w:rsid w:val="001E3B75"/>
    <w:rsid w:val="001E3FBD"/>
    <w:rsid w:val="001E4FD5"/>
    <w:rsid w:val="001E5C32"/>
    <w:rsid w:val="001E6B7D"/>
    <w:rsid w:val="001E7073"/>
    <w:rsid w:val="001E76B2"/>
    <w:rsid w:val="001F0445"/>
    <w:rsid w:val="001F074C"/>
    <w:rsid w:val="001F4A6D"/>
    <w:rsid w:val="001F5A84"/>
    <w:rsid w:val="001F5AFA"/>
    <w:rsid w:val="001F6323"/>
    <w:rsid w:val="001F65C3"/>
    <w:rsid w:val="001F6700"/>
    <w:rsid w:val="001F7E1F"/>
    <w:rsid w:val="00200CDA"/>
    <w:rsid w:val="00202971"/>
    <w:rsid w:val="00202BFA"/>
    <w:rsid w:val="002044C7"/>
    <w:rsid w:val="00204DE6"/>
    <w:rsid w:val="002054E3"/>
    <w:rsid w:val="00207603"/>
    <w:rsid w:val="00211F12"/>
    <w:rsid w:val="0021227B"/>
    <w:rsid w:val="0021329B"/>
    <w:rsid w:val="0021388C"/>
    <w:rsid w:val="00215CF8"/>
    <w:rsid w:val="0021606E"/>
    <w:rsid w:val="002164A8"/>
    <w:rsid w:val="002218BA"/>
    <w:rsid w:val="00222371"/>
    <w:rsid w:val="00222437"/>
    <w:rsid w:val="00222605"/>
    <w:rsid w:val="00222839"/>
    <w:rsid w:val="00223F16"/>
    <w:rsid w:val="00223F21"/>
    <w:rsid w:val="00224882"/>
    <w:rsid w:val="002270E5"/>
    <w:rsid w:val="002303EA"/>
    <w:rsid w:val="002309C2"/>
    <w:rsid w:val="00231F54"/>
    <w:rsid w:val="002321FA"/>
    <w:rsid w:val="002333BF"/>
    <w:rsid w:val="0023350C"/>
    <w:rsid w:val="002343D9"/>
    <w:rsid w:val="0023446E"/>
    <w:rsid w:val="00234DDD"/>
    <w:rsid w:val="00234EF4"/>
    <w:rsid w:val="0023558C"/>
    <w:rsid w:val="002357E0"/>
    <w:rsid w:val="00241D57"/>
    <w:rsid w:val="00241FB3"/>
    <w:rsid w:val="0024240B"/>
    <w:rsid w:val="00242484"/>
    <w:rsid w:val="002433B0"/>
    <w:rsid w:val="002434F2"/>
    <w:rsid w:val="00243618"/>
    <w:rsid w:val="0024576A"/>
    <w:rsid w:val="0024608C"/>
    <w:rsid w:val="002464CC"/>
    <w:rsid w:val="00250A6A"/>
    <w:rsid w:val="00250ECA"/>
    <w:rsid w:val="00251DE3"/>
    <w:rsid w:val="0025250D"/>
    <w:rsid w:val="00253AD3"/>
    <w:rsid w:val="0025437D"/>
    <w:rsid w:val="00255656"/>
    <w:rsid w:val="00255D39"/>
    <w:rsid w:val="00256FE4"/>
    <w:rsid w:val="0026015A"/>
    <w:rsid w:val="00262514"/>
    <w:rsid w:val="002659CE"/>
    <w:rsid w:val="0026636A"/>
    <w:rsid w:val="00266781"/>
    <w:rsid w:val="00266CE0"/>
    <w:rsid w:val="00266FF8"/>
    <w:rsid w:val="002677AE"/>
    <w:rsid w:val="00267F64"/>
    <w:rsid w:val="00272966"/>
    <w:rsid w:val="002731C1"/>
    <w:rsid w:val="002748A5"/>
    <w:rsid w:val="002763E4"/>
    <w:rsid w:val="00277C37"/>
    <w:rsid w:val="00281DFD"/>
    <w:rsid w:val="00281E43"/>
    <w:rsid w:val="002822E5"/>
    <w:rsid w:val="00282478"/>
    <w:rsid w:val="00282EA6"/>
    <w:rsid w:val="002852D9"/>
    <w:rsid w:val="00285558"/>
    <w:rsid w:val="0028560E"/>
    <w:rsid w:val="00287AC2"/>
    <w:rsid w:val="00291176"/>
    <w:rsid w:val="00291306"/>
    <w:rsid w:val="00291ECE"/>
    <w:rsid w:val="00291FB9"/>
    <w:rsid w:val="00292174"/>
    <w:rsid w:val="00292A53"/>
    <w:rsid w:val="00292C4D"/>
    <w:rsid w:val="002936E8"/>
    <w:rsid w:val="00293DD9"/>
    <w:rsid w:val="00296CC2"/>
    <w:rsid w:val="002977F4"/>
    <w:rsid w:val="00297AA1"/>
    <w:rsid w:val="00297E46"/>
    <w:rsid w:val="002A08E7"/>
    <w:rsid w:val="002A0B9B"/>
    <w:rsid w:val="002A1003"/>
    <w:rsid w:val="002A13F3"/>
    <w:rsid w:val="002A3669"/>
    <w:rsid w:val="002A367D"/>
    <w:rsid w:val="002A4A75"/>
    <w:rsid w:val="002A54B6"/>
    <w:rsid w:val="002A5598"/>
    <w:rsid w:val="002A6090"/>
    <w:rsid w:val="002A63E9"/>
    <w:rsid w:val="002B3577"/>
    <w:rsid w:val="002B432E"/>
    <w:rsid w:val="002B6354"/>
    <w:rsid w:val="002C078A"/>
    <w:rsid w:val="002C1CA5"/>
    <w:rsid w:val="002C3FBC"/>
    <w:rsid w:val="002C4C1C"/>
    <w:rsid w:val="002C4F20"/>
    <w:rsid w:val="002C7907"/>
    <w:rsid w:val="002D07B4"/>
    <w:rsid w:val="002D310B"/>
    <w:rsid w:val="002D592E"/>
    <w:rsid w:val="002D6FAF"/>
    <w:rsid w:val="002D77B4"/>
    <w:rsid w:val="002E0031"/>
    <w:rsid w:val="002E09E7"/>
    <w:rsid w:val="002E17DD"/>
    <w:rsid w:val="002E1998"/>
    <w:rsid w:val="002E1F5F"/>
    <w:rsid w:val="002E219E"/>
    <w:rsid w:val="002E292F"/>
    <w:rsid w:val="002E6822"/>
    <w:rsid w:val="002F1C9B"/>
    <w:rsid w:val="002F2F2A"/>
    <w:rsid w:val="002F3176"/>
    <w:rsid w:val="002F3532"/>
    <w:rsid w:val="002F4138"/>
    <w:rsid w:val="002F422A"/>
    <w:rsid w:val="002F52C0"/>
    <w:rsid w:val="002F57A9"/>
    <w:rsid w:val="002F68EF"/>
    <w:rsid w:val="002F697C"/>
    <w:rsid w:val="002F6C81"/>
    <w:rsid w:val="002F7131"/>
    <w:rsid w:val="00300FAE"/>
    <w:rsid w:val="00300FEA"/>
    <w:rsid w:val="00303538"/>
    <w:rsid w:val="003054C2"/>
    <w:rsid w:val="00305A01"/>
    <w:rsid w:val="00306265"/>
    <w:rsid w:val="00306448"/>
    <w:rsid w:val="003065A8"/>
    <w:rsid w:val="00306DA6"/>
    <w:rsid w:val="00307151"/>
    <w:rsid w:val="0030778E"/>
    <w:rsid w:val="003105D7"/>
    <w:rsid w:val="003108D3"/>
    <w:rsid w:val="00310D1F"/>
    <w:rsid w:val="0031110A"/>
    <w:rsid w:val="00313107"/>
    <w:rsid w:val="00314235"/>
    <w:rsid w:val="003158F7"/>
    <w:rsid w:val="00315942"/>
    <w:rsid w:val="00315A76"/>
    <w:rsid w:val="00316E19"/>
    <w:rsid w:val="00317358"/>
    <w:rsid w:val="00320A37"/>
    <w:rsid w:val="00321968"/>
    <w:rsid w:val="00321C92"/>
    <w:rsid w:val="00322F91"/>
    <w:rsid w:val="003240F9"/>
    <w:rsid w:val="0032483D"/>
    <w:rsid w:val="00326061"/>
    <w:rsid w:val="00326B42"/>
    <w:rsid w:val="00326E54"/>
    <w:rsid w:val="00327922"/>
    <w:rsid w:val="0033028F"/>
    <w:rsid w:val="00330A1F"/>
    <w:rsid w:val="00330E74"/>
    <w:rsid w:val="003313F8"/>
    <w:rsid w:val="00331DF9"/>
    <w:rsid w:val="003329C5"/>
    <w:rsid w:val="0033373D"/>
    <w:rsid w:val="00334375"/>
    <w:rsid w:val="00334987"/>
    <w:rsid w:val="00334BCA"/>
    <w:rsid w:val="003351B8"/>
    <w:rsid w:val="003354B3"/>
    <w:rsid w:val="00336AD5"/>
    <w:rsid w:val="00340F69"/>
    <w:rsid w:val="00342686"/>
    <w:rsid w:val="003433B6"/>
    <w:rsid w:val="00343BBA"/>
    <w:rsid w:val="00343FB0"/>
    <w:rsid w:val="003447C9"/>
    <w:rsid w:val="003461C8"/>
    <w:rsid w:val="003464DB"/>
    <w:rsid w:val="00346B7A"/>
    <w:rsid w:val="00346E67"/>
    <w:rsid w:val="00346F39"/>
    <w:rsid w:val="00347DE3"/>
    <w:rsid w:val="003501D8"/>
    <w:rsid w:val="003504B9"/>
    <w:rsid w:val="0035191F"/>
    <w:rsid w:val="00351D6C"/>
    <w:rsid w:val="003524AA"/>
    <w:rsid w:val="00352C08"/>
    <w:rsid w:val="00352E80"/>
    <w:rsid w:val="00353D2D"/>
    <w:rsid w:val="00354D44"/>
    <w:rsid w:val="00355A91"/>
    <w:rsid w:val="00355DBE"/>
    <w:rsid w:val="00356088"/>
    <w:rsid w:val="003563E8"/>
    <w:rsid w:val="00357226"/>
    <w:rsid w:val="003578C4"/>
    <w:rsid w:val="00357BC8"/>
    <w:rsid w:val="00357E09"/>
    <w:rsid w:val="00357E43"/>
    <w:rsid w:val="0036010D"/>
    <w:rsid w:val="00362DC6"/>
    <w:rsid w:val="0036438F"/>
    <w:rsid w:val="003644B5"/>
    <w:rsid w:val="00364C44"/>
    <w:rsid w:val="00365AD7"/>
    <w:rsid w:val="00366E5D"/>
    <w:rsid w:val="00367E12"/>
    <w:rsid w:val="00370B54"/>
    <w:rsid w:val="00370DA7"/>
    <w:rsid w:val="00372B40"/>
    <w:rsid w:val="00372CC4"/>
    <w:rsid w:val="003735BF"/>
    <w:rsid w:val="003748AF"/>
    <w:rsid w:val="00374A53"/>
    <w:rsid w:val="00375541"/>
    <w:rsid w:val="00375B14"/>
    <w:rsid w:val="003762CD"/>
    <w:rsid w:val="0037674D"/>
    <w:rsid w:val="00376C02"/>
    <w:rsid w:val="00376F7A"/>
    <w:rsid w:val="003803B6"/>
    <w:rsid w:val="00380CEB"/>
    <w:rsid w:val="00380FDE"/>
    <w:rsid w:val="00381013"/>
    <w:rsid w:val="00381214"/>
    <w:rsid w:val="00381CFB"/>
    <w:rsid w:val="0038227B"/>
    <w:rsid w:val="00382C69"/>
    <w:rsid w:val="00385E79"/>
    <w:rsid w:val="00386202"/>
    <w:rsid w:val="003877E3"/>
    <w:rsid w:val="00390184"/>
    <w:rsid w:val="00390A0A"/>
    <w:rsid w:val="00392EA3"/>
    <w:rsid w:val="00392F61"/>
    <w:rsid w:val="003935AB"/>
    <w:rsid w:val="00394276"/>
    <w:rsid w:val="00395612"/>
    <w:rsid w:val="00395A86"/>
    <w:rsid w:val="00395CF7"/>
    <w:rsid w:val="00396325"/>
    <w:rsid w:val="003967B3"/>
    <w:rsid w:val="00396D49"/>
    <w:rsid w:val="00397755"/>
    <w:rsid w:val="00397A3C"/>
    <w:rsid w:val="003A03EC"/>
    <w:rsid w:val="003A0CE4"/>
    <w:rsid w:val="003A1605"/>
    <w:rsid w:val="003A364C"/>
    <w:rsid w:val="003A3F1F"/>
    <w:rsid w:val="003A3FD5"/>
    <w:rsid w:val="003A4B74"/>
    <w:rsid w:val="003A5DBA"/>
    <w:rsid w:val="003A6689"/>
    <w:rsid w:val="003A6BC7"/>
    <w:rsid w:val="003B0663"/>
    <w:rsid w:val="003B3203"/>
    <w:rsid w:val="003B34AA"/>
    <w:rsid w:val="003B3B36"/>
    <w:rsid w:val="003B41E6"/>
    <w:rsid w:val="003B60B6"/>
    <w:rsid w:val="003B7BF8"/>
    <w:rsid w:val="003C01A1"/>
    <w:rsid w:val="003C21E5"/>
    <w:rsid w:val="003C2437"/>
    <w:rsid w:val="003C2D2E"/>
    <w:rsid w:val="003C30DF"/>
    <w:rsid w:val="003C4416"/>
    <w:rsid w:val="003C58CB"/>
    <w:rsid w:val="003C71BE"/>
    <w:rsid w:val="003C7760"/>
    <w:rsid w:val="003D10B9"/>
    <w:rsid w:val="003D167C"/>
    <w:rsid w:val="003D20C4"/>
    <w:rsid w:val="003D32AE"/>
    <w:rsid w:val="003D5248"/>
    <w:rsid w:val="003D60B4"/>
    <w:rsid w:val="003D629D"/>
    <w:rsid w:val="003D6D76"/>
    <w:rsid w:val="003E31FE"/>
    <w:rsid w:val="003E3393"/>
    <w:rsid w:val="003E68AD"/>
    <w:rsid w:val="003E7CFF"/>
    <w:rsid w:val="003E7DC5"/>
    <w:rsid w:val="003F2176"/>
    <w:rsid w:val="003F29DC"/>
    <w:rsid w:val="003F3388"/>
    <w:rsid w:val="003F343D"/>
    <w:rsid w:val="003F3A57"/>
    <w:rsid w:val="003F4174"/>
    <w:rsid w:val="003F65D4"/>
    <w:rsid w:val="003F65E7"/>
    <w:rsid w:val="003F6E83"/>
    <w:rsid w:val="003F74A5"/>
    <w:rsid w:val="003F7861"/>
    <w:rsid w:val="003F7E0E"/>
    <w:rsid w:val="00400454"/>
    <w:rsid w:val="00400F28"/>
    <w:rsid w:val="004010B7"/>
    <w:rsid w:val="00401B18"/>
    <w:rsid w:val="00401EE0"/>
    <w:rsid w:val="00403BF8"/>
    <w:rsid w:val="004076CD"/>
    <w:rsid w:val="00407D7D"/>
    <w:rsid w:val="00410040"/>
    <w:rsid w:val="00410264"/>
    <w:rsid w:val="00413066"/>
    <w:rsid w:val="00413659"/>
    <w:rsid w:val="004151BD"/>
    <w:rsid w:val="0041586E"/>
    <w:rsid w:val="00417739"/>
    <w:rsid w:val="0042090B"/>
    <w:rsid w:val="004209EF"/>
    <w:rsid w:val="00421C95"/>
    <w:rsid w:val="004232EA"/>
    <w:rsid w:val="004253AD"/>
    <w:rsid w:val="00425A2D"/>
    <w:rsid w:val="00425A7B"/>
    <w:rsid w:val="004273C5"/>
    <w:rsid w:val="00427D79"/>
    <w:rsid w:val="00427EF7"/>
    <w:rsid w:val="00430C1D"/>
    <w:rsid w:val="00430C70"/>
    <w:rsid w:val="00430FFE"/>
    <w:rsid w:val="00431599"/>
    <w:rsid w:val="00431712"/>
    <w:rsid w:val="004317A7"/>
    <w:rsid w:val="00431C6E"/>
    <w:rsid w:val="0043247E"/>
    <w:rsid w:val="00433EB1"/>
    <w:rsid w:val="00434258"/>
    <w:rsid w:val="00440501"/>
    <w:rsid w:val="004409C8"/>
    <w:rsid w:val="0044270E"/>
    <w:rsid w:val="00442ADF"/>
    <w:rsid w:val="004447C9"/>
    <w:rsid w:val="00444E14"/>
    <w:rsid w:val="00445E26"/>
    <w:rsid w:val="0044607B"/>
    <w:rsid w:val="004478B0"/>
    <w:rsid w:val="004478BC"/>
    <w:rsid w:val="004506B6"/>
    <w:rsid w:val="00450ACD"/>
    <w:rsid w:val="00451337"/>
    <w:rsid w:val="00451F49"/>
    <w:rsid w:val="00452F05"/>
    <w:rsid w:val="00454FBB"/>
    <w:rsid w:val="004552CC"/>
    <w:rsid w:val="00455E6C"/>
    <w:rsid w:val="00456539"/>
    <w:rsid w:val="00456B09"/>
    <w:rsid w:val="00457E59"/>
    <w:rsid w:val="004602EA"/>
    <w:rsid w:val="00460F16"/>
    <w:rsid w:val="00461098"/>
    <w:rsid w:val="004628E8"/>
    <w:rsid w:val="00463DDB"/>
    <w:rsid w:val="004640D4"/>
    <w:rsid w:val="00464786"/>
    <w:rsid w:val="00464AD8"/>
    <w:rsid w:val="00464E42"/>
    <w:rsid w:val="00464FB3"/>
    <w:rsid w:val="00466132"/>
    <w:rsid w:val="00466910"/>
    <w:rsid w:val="004673BE"/>
    <w:rsid w:val="004677CF"/>
    <w:rsid w:val="00467CE7"/>
    <w:rsid w:val="00467E7C"/>
    <w:rsid w:val="004713C2"/>
    <w:rsid w:val="00471ADD"/>
    <w:rsid w:val="004726A8"/>
    <w:rsid w:val="004732FE"/>
    <w:rsid w:val="00473A64"/>
    <w:rsid w:val="0047402F"/>
    <w:rsid w:val="00474534"/>
    <w:rsid w:val="00474B23"/>
    <w:rsid w:val="00475D1D"/>
    <w:rsid w:val="00476205"/>
    <w:rsid w:val="00476854"/>
    <w:rsid w:val="0047773B"/>
    <w:rsid w:val="00477AB5"/>
    <w:rsid w:val="00477E03"/>
    <w:rsid w:val="00480486"/>
    <w:rsid w:val="00480B68"/>
    <w:rsid w:val="00481616"/>
    <w:rsid w:val="00481704"/>
    <w:rsid w:val="00481B82"/>
    <w:rsid w:val="0048214B"/>
    <w:rsid w:val="00482C37"/>
    <w:rsid w:val="004830E1"/>
    <w:rsid w:val="00484397"/>
    <w:rsid w:val="00485665"/>
    <w:rsid w:val="00486AF5"/>
    <w:rsid w:val="00486C34"/>
    <w:rsid w:val="00487979"/>
    <w:rsid w:val="00490C8F"/>
    <w:rsid w:val="004915A8"/>
    <w:rsid w:val="00492386"/>
    <w:rsid w:val="00492409"/>
    <w:rsid w:val="00492DF8"/>
    <w:rsid w:val="0049331D"/>
    <w:rsid w:val="0049457D"/>
    <w:rsid w:val="004948CE"/>
    <w:rsid w:val="00497484"/>
    <w:rsid w:val="004979C8"/>
    <w:rsid w:val="004A046B"/>
    <w:rsid w:val="004A08F5"/>
    <w:rsid w:val="004A0E47"/>
    <w:rsid w:val="004A246F"/>
    <w:rsid w:val="004A35F5"/>
    <w:rsid w:val="004A4D42"/>
    <w:rsid w:val="004A5666"/>
    <w:rsid w:val="004A56FD"/>
    <w:rsid w:val="004A58F5"/>
    <w:rsid w:val="004A591E"/>
    <w:rsid w:val="004A6213"/>
    <w:rsid w:val="004A6974"/>
    <w:rsid w:val="004A6CBD"/>
    <w:rsid w:val="004A6F45"/>
    <w:rsid w:val="004A74A3"/>
    <w:rsid w:val="004B1804"/>
    <w:rsid w:val="004B23E8"/>
    <w:rsid w:val="004B3407"/>
    <w:rsid w:val="004B3F8D"/>
    <w:rsid w:val="004B5092"/>
    <w:rsid w:val="004B5952"/>
    <w:rsid w:val="004B6A16"/>
    <w:rsid w:val="004C10ED"/>
    <w:rsid w:val="004C1151"/>
    <w:rsid w:val="004C194C"/>
    <w:rsid w:val="004C440C"/>
    <w:rsid w:val="004C4E0E"/>
    <w:rsid w:val="004C6807"/>
    <w:rsid w:val="004C6836"/>
    <w:rsid w:val="004C737F"/>
    <w:rsid w:val="004D117D"/>
    <w:rsid w:val="004D1D5B"/>
    <w:rsid w:val="004D1E4E"/>
    <w:rsid w:val="004D3259"/>
    <w:rsid w:val="004D369E"/>
    <w:rsid w:val="004D3CBF"/>
    <w:rsid w:val="004D4048"/>
    <w:rsid w:val="004D6AA3"/>
    <w:rsid w:val="004E0725"/>
    <w:rsid w:val="004E1977"/>
    <w:rsid w:val="004E1F6E"/>
    <w:rsid w:val="004E338C"/>
    <w:rsid w:val="004E46C0"/>
    <w:rsid w:val="004E4C7F"/>
    <w:rsid w:val="004E6DCC"/>
    <w:rsid w:val="004E6EC1"/>
    <w:rsid w:val="004F0168"/>
    <w:rsid w:val="004F0704"/>
    <w:rsid w:val="004F089F"/>
    <w:rsid w:val="004F1709"/>
    <w:rsid w:val="004F1815"/>
    <w:rsid w:val="004F3908"/>
    <w:rsid w:val="004F3E35"/>
    <w:rsid w:val="004F4341"/>
    <w:rsid w:val="004F43AB"/>
    <w:rsid w:val="004F4DD6"/>
    <w:rsid w:val="004F53A8"/>
    <w:rsid w:val="004F5A22"/>
    <w:rsid w:val="004F6043"/>
    <w:rsid w:val="004F6847"/>
    <w:rsid w:val="004F75E9"/>
    <w:rsid w:val="004F77AE"/>
    <w:rsid w:val="004F77EE"/>
    <w:rsid w:val="005062AC"/>
    <w:rsid w:val="005068A1"/>
    <w:rsid w:val="00506C9B"/>
    <w:rsid w:val="00507121"/>
    <w:rsid w:val="005072D5"/>
    <w:rsid w:val="00510073"/>
    <w:rsid w:val="005104EC"/>
    <w:rsid w:val="005130C5"/>
    <w:rsid w:val="005137A0"/>
    <w:rsid w:val="005140DB"/>
    <w:rsid w:val="0051463F"/>
    <w:rsid w:val="0051527F"/>
    <w:rsid w:val="0051535E"/>
    <w:rsid w:val="005154BA"/>
    <w:rsid w:val="00520270"/>
    <w:rsid w:val="005204F9"/>
    <w:rsid w:val="005206FF"/>
    <w:rsid w:val="005217B9"/>
    <w:rsid w:val="00521807"/>
    <w:rsid w:val="00521B79"/>
    <w:rsid w:val="00522037"/>
    <w:rsid w:val="005248C0"/>
    <w:rsid w:val="0052499F"/>
    <w:rsid w:val="00524F95"/>
    <w:rsid w:val="00526017"/>
    <w:rsid w:val="00526230"/>
    <w:rsid w:val="0052691C"/>
    <w:rsid w:val="00526DF6"/>
    <w:rsid w:val="005271CE"/>
    <w:rsid w:val="00530936"/>
    <w:rsid w:val="00530A33"/>
    <w:rsid w:val="00533BD5"/>
    <w:rsid w:val="00533F4C"/>
    <w:rsid w:val="005350C1"/>
    <w:rsid w:val="0053579B"/>
    <w:rsid w:val="00536764"/>
    <w:rsid w:val="00536E8A"/>
    <w:rsid w:val="00537054"/>
    <w:rsid w:val="0054203E"/>
    <w:rsid w:val="00542374"/>
    <w:rsid w:val="00542AB5"/>
    <w:rsid w:val="00542CA0"/>
    <w:rsid w:val="00542E6F"/>
    <w:rsid w:val="005430A8"/>
    <w:rsid w:val="005439ED"/>
    <w:rsid w:val="00545461"/>
    <w:rsid w:val="0054570B"/>
    <w:rsid w:val="00545825"/>
    <w:rsid w:val="00545E36"/>
    <w:rsid w:val="00546003"/>
    <w:rsid w:val="005460F3"/>
    <w:rsid w:val="00546A7C"/>
    <w:rsid w:val="00547AFD"/>
    <w:rsid w:val="00547E2B"/>
    <w:rsid w:val="005504DB"/>
    <w:rsid w:val="00550695"/>
    <w:rsid w:val="00551AA0"/>
    <w:rsid w:val="00552C31"/>
    <w:rsid w:val="00552E06"/>
    <w:rsid w:val="005531A6"/>
    <w:rsid w:val="00553771"/>
    <w:rsid w:val="00553D89"/>
    <w:rsid w:val="005549F2"/>
    <w:rsid w:val="00555102"/>
    <w:rsid w:val="00555746"/>
    <w:rsid w:val="00555F18"/>
    <w:rsid w:val="00557024"/>
    <w:rsid w:val="00557321"/>
    <w:rsid w:val="00557DFF"/>
    <w:rsid w:val="00557FA4"/>
    <w:rsid w:val="005616C5"/>
    <w:rsid w:val="00561784"/>
    <w:rsid w:val="00562536"/>
    <w:rsid w:val="005646D7"/>
    <w:rsid w:val="00564AFB"/>
    <w:rsid w:val="005678D3"/>
    <w:rsid w:val="00570CF0"/>
    <w:rsid w:val="005711BE"/>
    <w:rsid w:val="00571CB1"/>
    <w:rsid w:val="00572918"/>
    <w:rsid w:val="005738E5"/>
    <w:rsid w:val="0057452A"/>
    <w:rsid w:val="005747B9"/>
    <w:rsid w:val="005749BD"/>
    <w:rsid w:val="00574A6D"/>
    <w:rsid w:val="00574ACA"/>
    <w:rsid w:val="00575007"/>
    <w:rsid w:val="00577366"/>
    <w:rsid w:val="005773AC"/>
    <w:rsid w:val="005779E5"/>
    <w:rsid w:val="005811A3"/>
    <w:rsid w:val="00581888"/>
    <w:rsid w:val="005818A4"/>
    <w:rsid w:val="00581E91"/>
    <w:rsid w:val="00581F89"/>
    <w:rsid w:val="00582476"/>
    <w:rsid w:val="00583F30"/>
    <w:rsid w:val="005865AE"/>
    <w:rsid w:val="00586E44"/>
    <w:rsid w:val="00587C87"/>
    <w:rsid w:val="005902D9"/>
    <w:rsid w:val="00591BCC"/>
    <w:rsid w:val="00592B24"/>
    <w:rsid w:val="00592F95"/>
    <w:rsid w:val="00593210"/>
    <w:rsid w:val="0059412C"/>
    <w:rsid w:val="00594444"/>
    <w:rsid w:val="005949D7"/>
    <w:rsid w:val="00595F6B"/>
    <w:rsid w:val="005967A4"/>
    <w:rsid w:val="00597107"/>
    <w:rsid w:val="00597728"/>
    <w:rsid w:val="005977F0"/>
    <w:rsid w:val="005A05F2"/>
    <w:rsid w:val="005A0BB9"/>
    <w:rsid w:val="005A1C27"/>
    <w:rsid w:val="005A5633"/>
    <w:rsid w:val="005A6599"/>
    <w:rsid w:val="005A7981"/>
    <w:rsid w:val="005B11B9"/>
    <w:rsid w:val="005B2E16"/>
    <w:rsid w:val="005B3558"/>
    <w:rsid w:val="005B3AFB"/>
    <w:rsid w:val="005B546E"/>
    <w:rsid w:val="005B78BF"/>
    <w:rsid w:val="005C0539"/>
    <w:rsid w:val="005C0658"/>
    <w:rsid w:val="005C094E"/>
    <w:rsid w:val="005C1554"/>
    <w:rsid w:val="005C17D6"/>
    <w:rsid w:val="005C1A84"/>
    <w:rsid w:val="005C20FE"/>
    <w:rsid w:val="005C23BB"/>
    <w:rsid w:val="005C24EC"/>
    <w:rsid w:val="005C25A5"/>
    <w:rsid w:val="005C437F"/>
    <w:rsid w:val="005C46AC"/>
    <w:rsid w:val="005C4F73"/>
    <w:rsid w:val="005C6AFD"/>
    <w:rsid w:val="005D0069"/>
    <w:rsid w:val="005D0262"/>
    <w:rsid w:val="005D04EA"/>
    <w:rsid w:val="005D0562"/>
    <w:rsid w:val="005D16A5"/>
    <w:rsid w:val="005D37CC"/>
    <w:rsid w:val="005D5924"/>
    <w:rsid w:val="005D6C73"/>
    <w:rsid w:val="005D7002"/>
    <w:rsid w:val="005D7CA2"/>
    <w:rsid w:val="005E0CFA"/>
    <w:rsid w:val="005E342B"/>
    <w:rsid w:val="005E38B4"/>
    <w:rsid w:val="005E531B"/>
    <w:rsid w:val="005E545D"/>
    <w:rsid w:val="005E55C1"/>
    <w:rsid w:val="005E61DD"/>
    <w:rsid w:val="005E7B3A"/>
    <w:rsid w:val="005F0589"/>
    <w:rsid w:val="005F191C"/>
    <w:rsid w:val="005F1A99"/>
    <w:rsid w:val="005F25CB"/>
    <w:rsid w:val="005F3927"/>
    <w:rsid w:val="005F6400"/>
    <w:rsid w:val="005F69A1"/>
    <w:rsid w:val="005F71D3"/>
    <w:rsid w:val="00600224"/>
    <w:rsid w:val="00600D2E"/>
    <w:rsid w:val="00601DF9"/>
    <w:rsid w:val="00602FEA"/>
    <w:rsid w:val="00603D5D"/>
    <w:rsid w:val="006049CA"/>
    <w:rsid w:val="00604EDC"/>
    <w:rsid w:val="00605A4C"/>
    <w:rsid w:val="00611FA2"/>
    <w:rsid w:val="00612054"/>
    <w:rsid w:val="0061253C"/>
    <w:rsid w:val="006137A7"/>
    <w:rsid w:val="0061381D"/>
    <w:rsid w:val="00614238"/>
    <w:rsid w:val="00614CE4"/>
    <w:rsid w:val="00615666"/>
    <w:rsid w:val="00621894"/>
    <w:rsid w:val="0062352D"/>
    <w:rsid w:val="00623E3B"/>
    <w:rsid w:val="00624303"/>
    <w:rsid w:val="0062437A"/>
    <w:rsid w:val="0062443B"/>
    <w:rsid w:val="00626F18"/>
    <w:rsid w:val="006271B2"/>
    <w:rsid w:val="006304AC"/>
    <w:rsid w:val="00630DDF"/>
    <w:rsid w:val="00632970"/>
    <w:rsid w:val="00632DF3"/>
    <w:rsid w:val="00633001"/>
    <w:rsid w:val="006335FE"/>
    <w:rsid w:val="00633BA1"/>
    <w:rsid w:val="00636F21"/>
    <w:rsid w:val="00641358"/>
    <w:rsid w:val="006417D6"/>
    <w:rsid w:val="00642B20"/>
    <w:rsid w:val="00643B58"/>
    <w:rsid w:val="00646484"/>
    <w:rsid w:val="00654328"/>
    <w:rsid w:val="006559E6"/>
    <w:rsid w:val="00656294"/>
    <w:rsid w:val="00656838"/>
    <w:rsid w:val="00656B93"/>
    <w:rsid w:val="00657526"/>
    <w:rsid w:val="006603B9"/>
    <w:rsid w:val="00661F9A"/>
    <w:rsid w:val="00662B77"/>
    <w:rsid w:val="00663190"/>
    <w:rsid w:val="00664E61"/>
    <w:rsid w:val="00665242"/>
    <w:rsid w:val="00667FBA"/>
    <w:rsid w:val="00670B5B"/>
    <w:rsid w:val="006710D8"/>
    <w:rsid w:val="006717FB"/>
    <w:rsid w:val="0067256D"/>
    <w:rsid w:val="00674B96"/>
    <w:rsid w:val="00674D2B"/>
    <w:rsid w:val="0067567A"/>
    <w:rsid w:val="00675ABA"/>
    <w:rsid w:val="00675EB5"/>
    <w:rsid w:val="00677542"/>
    <w:rsid w:val="0067798F"/>
    <w:rsid w:val="00683AB3"/>
    <w:rsid w:val="00683B29"/>
    <w:rsid w:val="0068539B"/>
    <w:rsid w:val="00687E27"/>
    <w:rsid w:val="006907CE"/>
    <w:rsid w:val="00691DDD"/>
    <w:rsid w:val="00692D9B"/>
    <w:rsid w:val="00693535"/>
    <w:rsid w:val="006938DD"/>
    <w:rsid w:val="00694222"/>
    <w:rsid w:val="00694862"/>
    <w:rsid w:val="00695034"/>
    <w:rsid w:val="00695264"/>
    <w:rsid w:val="00695656"/>
    <w:rsid w:val="00695837"/>
    <w:rsid w:val="00695C92"/>
    <w:rsid w:val="00695ECF"/>
    <w:rsid w:val="00696768"/>
    <w:rsid w:val="006A069F"/>
    <w:rsid w:val="006A1739"/>
    <w:rsid w:val="006A18DE"/>
    <w:rsid w:val="006A23CF"/>
    <w:rsid w:val="006A248C"/>
    <w:rsid w:val="006A3A61"/>
    <w:rsid w:val="006A4416"/>
    <w:rsid w:val="006A4A36"/>
    <w:rsid w:val="006A4F59"/>
    <w:rsid w:val="006A61D7"/>
    <w:rsid w:val="006A62E9"/>
    <w:rsid w:val="006A7A81"/>
    <w:rsid w:val="006B226F"/>
    <w:rsid w:val="006B3858"/>
    <w:rsid w:val="006B3CB6"/>
    <w:rsid w:val="006B52F1"/>
    <w:rsid w:val="006B61B4"/>
    <w:rsid w:val="006B6305"/>
    <w:rsid w:val="006B681F"/>
    <w:rsid w:val="006B7A75"/>
    <w:rsid w:val="006C1383"/>
    <w:rsid w:val="006C1555"/>
    <w:rsid w:val="006C17C7"/>
    <w:rsid w:val="006C19CF"/>
    <w:rsid w:val="006C1A65"/>
    <w:rsid w:val="006C1B34"/>
    <w:rsid w:val="006C1BC8"/>
    <w:rsid w:val="006C435D"/>
    <w:rsid w:val="006C6C02"/>
    <w:rsid w:val="006C7642"/>
    <w:rsid w:val="006C7DA8"/>
    <w:rsid w:val="006D0E1E"/>
    <w:rsid w:val="006D1D66"/>
    <w:rsid w:val="006D1E2F"/>
    <w:rsid w:val="006D382E"/>
    <w:rsid w:val="006D4F1C"/>
    <w:rsid w:val="006D78E8"/>
    <w:rsid w:val="006E0716"/>
    <w:rsid w:val="006E17EE"/>
    <w:rsid w:val="006E2E49"/>
    <w:rsid w:val="006E2E8C"/>
    <w:rsid w:val="006E393F"/>
    <w:rsid w:val="006E3DF1"/>
    <w:rsid w:val="006E433E"/>
    <w:rsid w:val="006E4A36"/>
    <w:rsid w:val="006E5DC6"/>
    <w:rsid w:val="006E60DC"/>
    <w:rsid w:val="006E662F"/>
    <w:rsid w:val="006E79FC"/>
    <w:rsid w:val="006F04FF"/>
    <w:rsid w:val="006F052C"/>
    <w:rsid w:val="006F15B2"/>
    <w:rsid w:val="006F17F9"/>
    <w:rsid w:val="006F1962"/>
    <w:rsid w:val="006F1A12"/>
    <w:rsid w:val="006F27B1"/>
    <w:rsid w:val="006F39F3"/>
    <w:rsid w:val="006F3F85"/>
    <w:rsid w:val="006F4431"/>
    <w:rsid w:val="006F4531"/>
    <w:rsid w:val="006F486E"/>
    <w:rsid w:val="006F61FB"/>
    <w:rsid w:val="006F6427"/>
    <w:rsid w:val="006F6AD8"/>
    <w:rsid w:val="006F6D2E"/>
    <w:rsid w:val="006F709B"/>
    <w:rsid w:val="00700D15"/>
    <w:rsid w:val="007010D2"/>
    <w:rsid w:val="0070129E"/>
    <w:rsid w:val="007018E5"/>
    <w:rsid w:val="00701E2F"/>
    <w:rsid w:val="0070200E"/>
    <w:rsid w:val="0070230A"/>
    <w:rsid w:val="007049A1"/>
    <w:rsid w:val="00704BA5"/>
    <w:rsid w:val="007054AA"/>
    <w:rsid w:val="00706AE5"/>
    <w:rsid w:val="0071040D"/>
    <w:rsid w:val="007108AF"/>
    <w:rsid w:val="00712827"/>
    <w:rsid w:val="007136C2"/>
    <w:rsid w:val="00714425"/>
    <w:rsid w:val="007145C6"/>
    <w:rsid w:val="00715601"/>
    <w:rsid w:val="007158EF"/>
    <w:rsid w:val="0071592F"/>
    <w:rsid w:val="007166A7"/>
    <w:rsid w:val="0071682E"/>
    <w:rsid w:val="00716B9A"/>
    <w:rsid w:val="00717339"/>
    <w:rsid w:val="00717597"/>
    <w:rsid w:val="007215A1"/>
    <w:rsid w:val="007228F9"/>
    <w:rsid w:val="00723B89"/>
    <w:rsid w:val="007252B5"/>
    <w:rsid w:val="00725894"/>
    <w:rsid w:val="0072625A"/>
    <w:rsid w:val="00726408"/>
    <w:rsid w:val="00727A7D"/>
    <w:rsid w:val="0073055E"/>
    <w:rsid w:val="00730D26"/>
    <w:rsid w:val="00731800"/>
    <w:rsid w:val="00732907"/>
    <w:rsid w:val="00732BC7"/>
    <w:rsid w:val="00734658"/>
    <w:rsid w:val="0073513F"/>
    <w:rsid w:val="0073654F"/>
    <w:rsid w:val="00736701"/>
    <w:rsid w:val="00736E8D"/>
    <w:rsid w:val="00740737"/>
    <w:rsid w:val="00740D4F"/>
    <w:rsid w:val="007417A0"/>
    <w:rsid w:val="007417FB"/>
    <w:rsid w:val="00741BA3"/>
    <w:rsid w:val="00741C36"/>
    <w:rsid w:val="00742F3E"/>
    <w:rsid w:val="0074405B"/>
    <w:rsid w:val="0074423F"/>
    <w:rsid w:val="00745A92"/>
    <w:rsid w:val="007467C2"/>
    <w:rsid w:val="00747B20"/>
    <w:rsid w:val="007503D6"/>
    <w:rsid w:val="00752ABC"/>
    <w:rsid w:val="00754EEF"/>
    <w:rsid w:val="00755402"/>
    <w:rsid w:val="00756C00"/>
    <w:rsid w:val="00757EDB"/>
    <w:rsid w:val="00760BD0"/>
    <w:rsid w:val="00760CDF"/>
    <w:rsid w:val="00760F4D"/>
    <w:rsid w:val="0076312A"/>
    <w:rsid w:val="00763D84"/>
    <w:rsid w:val="0076688B"/>
    <w:rsid w:val="00767D44"/>
    <w:rsid w:val="007722F8"/>
    <w:rsid w:val="007730C4"/>
    <w:rsid w:val="007736F2"/>
    <w:rsid w:val="007759BF"/>
    <w:rsid w:val="00776761"/>
    <w:rsid w:val="00776C09"/>
    <w:rsid w:val="0077749B"/>
    <w:rsid w:val="00777D36"/>
    <w:rsid w:val="007809C5"/>
    <w:rsid w:val="00781DCB"/>
    <w:rsid w:val="00782F44"/>
    <w:rsid w:val="0078331D"/>
    <w:rsid w:val="00783405"/>
    <w:rsid w:val="007836B1"/>
    <w:rsid w:val="00783E23"/>
    <w:rsid w:val="007845B0"/>
    <w:rsid w:val="007846BA"/>
    <w:rsid w:val="007857F7"/>
    <w:rsid w:val="0078694A"/>
    <w:rsid w:val="007913BC"/>
    <w:rsid w:val="007921BB"/>
    <w:rsid w:val="007927C0"/>
    <w:rsid w:val="007930CD"/>
    <w:rsid w:val="00794E33"/>
    <w:rsid w:val="00795B3A"/>
    <w:rsid w:val="00796180"/>
    <w:rsid w:val="00796C89"/>
    <w:rsid w:val="00797D3C"/>
    <w:rsid w:val="007A12DB"/>
    <w:rsid w:val="007A1A5F"/>
    <w:rsid w:val="007A1D11"/>
    <w:rsid w:val="007A1ECF"/>
    <w:rsid w:val="007A3B17"/>
    <w:rsid w:val="007A3D74"/>
    <w:rsid w:val="007A3DF6"/>
    <w:rsid w:val="007A4D20"/>
    <w:rsid w:val="007A68C1"/>
    <w:rsid w:val="007A6B66"/>
    <w:rsid w:val="007A6D76"/>
    <w:rsid w:val="007A7A5E"/>
    <w:rsid w:val="007B026D"/>
    <w:rsid w:val="007B05F7"/>
    <w:rsid w:val="007B1373"/>
    <w:rsid w:val="007B2821"/>
    <w:rsid w:val="007B4C43"/>
    <w:rsid w:val="007B4DBF"/>
    <w:rsid w:val="007B4FB9"/>
    <w:rsid w:val="007B59FA"/>
    <w:rsid w:val="007B78D2"/>
    <w:rsid w:val="007C0468"/>
    <w:rsid w:val="007C0C27"/>
    <w:rsid w:val="007C13D4"/>
    <w:rsid w:val="007C2873"/>
    <w:rsid w:val="007C2E65"/>
    <w:rsid w:val="007C3C6F"/>
    <w:rsid w:val="007C3D2F"/>
    <w:rsid w:val="007D0776"/>
    <w:rsid w:val="007D11D8"/>
    <w:rsid w:val="007D1206"/>
    <w:rsid w:val="007D1416"/>
    <w:rsid w:val="007D2592"/>
    <w:rsid w:val="007D469F"/>
    <w:rsid w:val="007D47CC"/>
    <w:rsid w:val="007D5022"/>
    <w:rsid w:val="007D5D8B"/>
    <w:rsid w:val="007D65E0"/>
    <w:rsid w:val="007E0C79"/>
    <w:rsid w:val="007E1E9F"/>
    <w:rsid w:val="007E207E"/>
    <w:rsid w:val="007E24CB"/>
    <w:rsid w:val="007E4909"/>
    <w:rsid w:val="007E5366"/>
    <w:rsid w:val="007E56AE"/>
    <w:rsid w:val="007E6279"/>
    <w:rsid w:val="007E6938"/>
    <w:rsid w:val="007E7E06"/>
    <w:rsid w:val="007F01D9"/>
    <w:rsid w:val="007F02DE"/>
    <w:rsid w:val="007F075D"/>
    <w:rsid w:val="007F1419"/>
    <w:rsid w:val="007F16C9"/>
    <w:rsid w:val="007F3204"/>
    <w:rsid w:val="007F3EB8"/>
    <w:rsid w:val="007F492B"/>
    <w:rsid w:val="007F59C2"/>
    <w:rsid w:val="007F7113"/>
    <w:rsid w:val="0080135D"/>
    <w:rsid w:val="0080181F"/>
    <w:rsid w:val="00805292"/>
    <w:rsid w:val="0080539D"/>
    <w:rsid w:val="008054EB"/>
    <w:rsid w:val="0080574C"/>
    <w:rsid w:val="00806FB8"/>
    <w:rsid w:val="00807A01"/>
    <w:rsid w:val="00807BAA"/>
    <w:rsid w:val="008101B8"/>
    <w:rsid w:val="00811957"/>
    <w:rsid w:val="0081270B"/>
    <w:rsid w:val="00815AC9"/>
    <w:rsid w:val="00817BA9"/>
    <w:rsid w:val="00820730"/>
    <w:rsid w:val="0082174B"/>
    <w:rsid w:val="00823876"/>
    <w:rsid w:val="00824CF8"/>
    <w:rsid w:val="00825A06"/>
    <w:rsid w:val="0082614F"/>
    <w:rsid w:val="008269DC"/>
    <w:rsid w:val="008274EB"/>
    <w:rsid w:val="0082792E"/>
    <w:rsid w:val="00830D8A"/>
    <w:rsid w:val="00831DC6"/>
    <w:rsid w:val="00833661"/>
    <w:rsid w:val="00833791"/>
    <w:rsid w:val="00833807"/>
    <w:rsid w:val="008339DA"/>
    <w:rsid w:val="008346B4"/>
    <w:rsid w:val="00834B9D"/>
    <w:rsid w:val="00834E8C"/>
    <w:rsid w:val="008354FD"/>
    <w:rsid w:val="00836E4C"/>
    <w:rsid w:val="008370EA"/>
    <w:rsid w:val="008375A6"/>
    <w:rsid w:val="00837AD7"/>
    <w:rsid w:val="00840825"/>
    <w:rsid w:val="00841219"/>
    <w:rsid w:val="00842E1E"/>
    <w:rsid w:val="008439D3"/>
    <w:rsid w:val="00843CAA"/>
    <w:rsid w:val="00844EC7"/>
    <w:rsid w:val="00845547"/>
    <w:rsid w:val="008465E1"/>
    <w:rsid w:val="00846F51"/>
    <w:rsid w:val="0084711F"/>
    <w:rsid w:val="008474AC"/>
    <w:rsid w:val="00847F94"/>
    <w:rsid w:val="008506FF"/>
    <w:rsid w:val="00851E26"/>
    <w:rsid w:val="00854D95"/>
    <w:rsid w:val="00855A48"/>
    <w:rsid w:val="00856716"/>
    <w:rsid w:val="00860192"/>
    <w:rsid w:val="00860EB5"/>
    <w:rsid w:val="008623FE"/>
    <w:rsid w:val="00862B53"/>
    <w:rsid w:val="00865096"/>
    <w:rsid w:val="00865DE7"/>
    <w:rsid w:val="0086777C"/>
    <w:rsid w:val="00867EDE"/>
    <w:rsid w:val="008721CB"/>
    <w:rsid w:val="00872372"/>
    <w:rsid w:val="008723E6"/>
    <w:rsid w:val="008730F2"/>
    <w:rsid w:val="00873D5D"/>
    <w:rsid w:val="00873F15"/>
    <w:rsid w:val="0087468A"/>
    <w:rsid w:val="008747E0"/>
    <w:rsid w:val="0087536F"/>
    <w:rsid w:val="00875F98"/>
    <w:rsid w:val="00877043"/>
    <w:rsid w:val="008774F3"/>
    <w:rsid w:val="00880DB0"/>
    <w:rsid w:val="00881A4D"/>
    <w:rsid w:val="00882B57"/>
    <w:rsid w:val="008837B6"/>
    <w:rsid w:val="0088534F"/>
    <w:rsid w:val="00885392"/>
    <w:rsid w:val="0088602C"/>
    <w:rsid w:val="0088603F"/>
    <w:rsid w:val="008862B1"/>
    <w:rsid w:val="00886C83"/>
    <w:rsid w:val="008879FD"/>
    <w:rsid w:val="00887F2B"/>
    <w:rsid w:val="00887FB1"/>
    <w:rsid w:val="0089096A"/>
    <w:rsid w:val="00890C67"/>
    <w:rsid w:val="008910BD"/>
    <w:rsid w:val="00892202"/>
    <w:rsid w:val="0089353F"/>
    <w:rsid w:val="00893E0D"/>
    <w:rsid w:val="00894AC8"/>
    <w:rsid w:val="008963EB"/>
    <w:rsid w:val="00896799"/>
    <w:rsid w:val="00896D7E"/>
    <w:rsid w:val="00897CA6"/>
    <w:rsid w:val="008A01DF"/>
    <w:rsid w:val="008A2252"/>
    <w:rsid w:val="008A262D"/>
    <w:rsid w:val="008A387F"/>
    <w:rsid w:val="008A4EF5"/>
    <w:rsid w:val="008A63CE"/>
    <w:rsid w:val="008B08B3"/>
    <w:rsid w:val="008B0BCA"/>
    <w:rsid w:val="008B1016"/>
    <w:rsid w:val="008B115D"/>
    <w:rsid w:val="008B13AA"/>
    <w:rsid w:val="008B3A5A"/>
    <w:rsid w:val="008B3A5C"/>
    <w:rsid w:val="008B3AF8"/>
    <w:rsid w:val="008B477D"/>
    <w:rsid w:val="008B4988"/>
    <w:rsid w:val="008B63A3"/>
    <w:rsid w:val="008B6EA7"/>
    <w:rsid w:val="008B717C"/>
    <w:rsid w:val="008C3218"/>
    <w:rsid w:val="008C3E72"/>
    <w:rsid w:val="008C3F9E"/>
    <w:rsid w:val="008C54A0"/>
    <w:rsid w:val="008C5E04"/>
    <w:rsid w:val="008C6249"/>
    <w:rsid w:val="008C7AD0"/>
    <w:rsid w:val="008D0B77"/>
    <w:rsid w:val="008D1318"/>
    <w:rsid w:val="008D22BB"/>
    <w:rsid w:val="008D3237"/>
    <w:rsid w:val="008D34EC"/>
    <w:rsid w:val="008D3FCD"/>
    <w:rsid w:val="008D41E1"/>
    <w:rsid w:val="008D6646"/>
    <w:rsid w:val="008D76E1"/>
    <w:rsid w:val="008D7AA7"/>
    <w:rsid w:val="008E1031"/>
    <w:rsid w:val="008E177E"/>
    <w:rsid w:val="008E221C"/>
    <w:rsid w:val="008E320F"/>
    <w:rsid w:val="008E3570"/>
    <w:rsid w:val="008E518F"/>
    <w:rsid w:val="008E5F75"/>
    <w:rsid w:val="008F0564"/>
    <w:rsid w:val="008F0BC3"/>
    <w:rsid w:val="008F0C38"/>
    <w:rsid w:val="008F1706"/>
    <w:rsid w:val="008F2EF7"/>
    <w:rsid w:val="008F34B3"/>
    <w:rsid w:val="008F3C00"/>
    <w:rsid w:val="008F4C6F"/>
    <w:rsid w:val="008F50A3"/>
    <w:rsid w:val="008F685C"/>
    <w:rsid w:val="008F75A7"/>
    <w:rsid w:val="008F78F7"/>
    <w:rsid w:val="00900B13"/>
    <w:rsid w:val="00901484"/>
    <w:rsid w:val="00901D89"/>
    <w:rsid w:val="009020CA"/>
    <w:rsid w:val="00904348"/>
    <w:rsid w:val="009061A2"/>
    <w:rsid w:val="00907B33"/>
    <w:rsid w:val="00910AE1"/>
    <w:rsid w:val="00910B79"/>
    <w:rsid w:val="00910F14"/>
    <w:rsid w:val="00910F79"/>
    <w:rsid w:val="00912192"/>
    <w:rsid w:val="009128E2"/>
    <w:rsid w:val="009129AC"/>
    <w:rsid w:val="00913857"/>
    <w:rsid w:val="00914AE7"/>
    <w:rsid w:val="009153DC"/>
    <w:rsid w:val="00915C52"/>
    <w:rsid w:val="009168D0"/>
    <w:rsid w:val="00923EC3"/>
    <w:rsid w:val="009278CE"/>
    <w:rsid w:val="0093042B"/>
    <w:rsid w:val="009312EC"/>
    <w:rsid w:val="009328B6"/>
    <w:rsid w:val="009332BC"/>
    <w:rsid w:val="009346FF"/>
    <w:rsid w:val="00934A6B"/>
    <w:rsid w:val="00934B57"/>
    <w:rsid w:val="00935A6B"/>
    <w:rsid w:val="00935FFD"/>
    <w:rsid w:val="0093625A"/>
    <w:rsid w:val="00941D5A"/>
    <w:rsid w:val="00942BE6"/>
    <w:rsid w:val="00943BD8"/>
    <w:rsid w:val="009444EF"/>
    <w:rsid w:val="009447A5"/>
    <w:rsid w:val="009468CB"/>
    <w:rsid w:val="0094772D"/>
    <w:rsid w:val="00947E64"/>
    <w:rsid w:val="009501F2"/>
    <w:rsid w:val="00950E9B"/>
    <w:rsid w:val="009512B2"/>
    <w:rsid w:val="00952975"/>
    <w:rsid w:val="00952F51"/>
    <w:rsid w:val="00953C5D"/>
    <w:rsid w:val="00954034"/>
    <w:rsid w:val="009577AA"/>
    <w:rsid w:val="009577FC"/>
    <w:rsid w:val="009579CE"/>
    <w:rsid w:val="00960DC6"/>
    <w:rsid w:val="009614AE"/>
    <w:rsid w:val="00961BF4"/>
    <w:rsid w:val="00961E4B"/>
    <w:rsid w:val="0096250C"/>
    <w:rsid w:val="00966319"/>
    <w:rsid w:val="00966A7A"/>
    <w:rsid w:val="00967248"/>
    <w:rsid w:val="00971B4D"/>
    <w:rsid w:val="0097337C"/>
    <w:rsid w:val="009735B4"/>
    <w:rsid w:val="00974F24"/>
    <w:rsid w:val="0097639A"/>
    <w:rsid w:val="009768B2"/>
    <w:rsid w:val="009805C3"/>
    <w:rsid w:val="00981A8C"/>
    <w:rsid w:val="00982BF8"/>
    <w:rsid w:val="00982D98"/>
    <w:rsid w:val="009833F9"/>
    <w:rsid w:val="00983C58"/>
    <w:rsid w:val="00983F50"/>
    <w:rsid w:val="00984B6D"/>
    <w:rsid w:val="009873F4"/>
    <w:rsid w:val="00990F75"/>
    <w:rsid w:val="009917DE"/>
    <w:rsid w:val="00991B0C"/>
    <w:rsid w:val="0099307C"/>
    <w:rsid w:val="009949B1"/>
    <w:rsid w:val="00995D0A"/>
    <w:rsid w:val="00995D5E"/>
    <w:rsid w:val="009963DE"/>
    <w:rsid w:val="00997411"/>
    <w:rsid w:val="0099769E"/>
    <w:rsid w:val="009A12C2"/>
    <w:rsid w:val="009A12F8"/>
    <w:rsid w:val="009A15D8"/>
    <w:rsid w:val="009A2AE4"/>
    <w:rsid w:val="009A2B2D"/>
    <w:rsid w:val="009A4AFC"/>
    <w:rsid w:val="009A4E82"/>
    <w:rsid w:val="009A65C9"/>
    <w:rsid w:val="009A69F9"/>
    <w:rsid w:val="009A6CE8"/>
    <w:rsid w:val="009A74FE"/>
    <w:rsid w:val="009A76C4"/>
    <w:rsid w:val="009A79BC"/>
    <w:rsid w:val="009B0529"/>
    <w:rsid w:val="009B0C5A"/>
    <w:rsid w:val="009B2604"/>
    <w:rsid w:val="009B34F4"/>
    <w:rsid w:val="009B4EF4"/>
    <w:rsid w:val="009B5B1C"/>
    <w:rsid w:val="009C14F5"/>
    <w:rsid w:val="009C1B26"/>
    <w:rsid w:val="009C1DD2"/>
    <w:rsid w:val="009C1E89"/>
    <w:rsid w:val="009C1F74"/>
    <w:rsid w:val="009C2584"/>
    <w:rsid w:val="009C28A2"/>
    <w:rsid w:val="009C3720"/>
    <w:rsid w:val="009C37A0"/>
    <w:rsid w:val="009C421D"/>
    <w:rsid w:val="009C65DB"/>
    <w:rsid w:val="009C6ADE"/>
    <w:rsid w:val="009C7443"/>
    <w:rsid w:val="009C74C2"/>
    <w:rsid w:val="009D2FBE"/>
    <w:rsid w:val="009D329C"/>
    <w:rsid w:val="009D6DDC"/>
    <w:rsid w:val="009D727A"/>
    <w:rsid w:val="009D730F"/>
    <w:rsid w:val="009E08D3"/>
    <w:rsid w:val="009E0B83"/>
    <w:rsid w:val="009E2E35"/>
    <w:rsid w:val="009E2E75"/>
    <w:rsid w:val="009E2F2B"/>
    <w:rsid w:val="009E3A0E"/>
    <w:rsid w:val="009E5681"/>
    <w:rsid w:val="009E59DF"/>
    <w:rsid w:val="009E7B70"/>
    <w:rsid w:val="009E7E16"/>
    <w:rsid w:val="009F0AC9"/>
    <w:rsid w:val="009F0FE8"/>
    <w:rsid w:val="009F1176"/>
    <w:rsid w:val="009F13D3"/>
    <w:rsid w:val="009F1C93"/>
    <w:rsid w:val="009F2828"/>
    <w:rsid w:val="009F2E7B"/>
    <w:rsid w:val="009F389B"/>
    <w:rsid w:val="009F3FB7"/>
    <w:rsid w:val="009F4237"/>
    <w:rsid w:val="009F5940"/>
    <w:rsid w:val="009F71A5"/>
    <w:rsid w:val="00A004D2"/>
    <w:rsid w:val="00A00BBB"/>
    <w:rsid w:val="00A00FC3"/>
    <w:rsid w:val="00A01096"/>
    <w:rsid w:val="00A01661"/>
    <w:rsid w:val="00A01B9C"/>
    <w:rsid w:val="00A01CEA"/>
    <w:rsid w:val="00A02DFF"/>
    <w:rsid w:val="00A030CD"/>
    <w:rsid w:val="00A0406B"/>
    <w:rsid w:val="00A057D6"/>
    <w:rsid w:val="00A06C38"/>
    <w:rsid w:val="00A07591"/>
    <w:rsid w:val="00A07DE9"/>
    <w:rsid w:val="00A11F07"/>
    <w:rsid w:val="00A12B3D"/>
    <w:rsid w:val="00A12C34"/>
    <w:rsid w:val="00A12F65"/>
    <w:rsid w:val="00A142C0"/>
    <w:rsid w:val="00A143AA"/>
    <w:rsid w:val="00A14B79"/>
    <w:rsid w:val="00A159FD"/>
    <w:rsid w:val="00A16377"/>
    <w:rsid w:val="00A16D63"/>
    <w:rsid w:val="00A17D2B"/>
    <w:rsid w:val="00A208C0"/>
    <w:rsid w:val="00A217B7"/>
    <w:rsid w:val="00A231AB"/>
    <w:rsid w:val="00A23234"/>
    <w:rsid w:val="00A240DB"/>
    <w:rsid w:val="00A2515C"/>
    <w:rsid w:val="00A25A88"/>
    <w:rsid w:val="00A27140"/>
    <w:rsid w:val="00A2794A"/>
    <w:rsid w:val="00A27C56"/>
    <w:rsid w:val="00A3034F"/>
    <w:rsid w:val="00A31D06"/>
    <w:rsid w:val="00A31EC0"/>
    <w:rsid w:val="00A3278A"/>
    <w:rsid w:val="00A3309A"/>
    <w:rsid w:val="00A33B3D"/>
    <w:rsid w:val="00A33DD7"/>
    <w:rsid w:val="00A33F89"/>
    <w:rsid w:val="00A340F8"/>
    <w:rsid w:val="00A342AB"/>
    <w:rsid w:val="00A34B13"/>
    <w:rsid w:val="00A37B65"/>
    <w:rsid w:val="00A406F8"/>
    <w:rsid w:val="00A4150E"/>
    <w:rsid w:val="00A41E81"/>
    <w:rsid w:val="00A42021"/>
    <w:rsid w:val="00A422F1"/>
    <w:rsid w:val="00A43262"/>
    <w:rsid w:val="00A44081"/>
    <w:rsid w:val="00A44C9A"/>
    <w:rsid w:val="00A44E29"/>
    <w:rsid w:val="00A45511"/>
    <w:rsid w:val="00A464F3"/>
    <w:rsid w:val="00A46BC9"/>
    <w:rsid w:val="00A5042E"/>
    <w:rsid w:val="00A5214F"/>
    <w:rsid w:val="00A52607"/>
    <w:rsid w:val="00A5410E"/>
    <w:rsid w:val="00A55F24"/>
    <w:rsid w:val="00A57479"/>
    <w:rsid w:val="00A61EA5"/>
    <w:rsid w:val="00A624D2"/>
    <w:rsid w:val="00A63200"/>
    <w:rsid w:val="00A6330D"/>
    <w:rsid w:val="00A63671"/>
    <w:rsid w:val="00A64319"/>
    <w:rsid w:val="00A65069"/>
    <w:rsid w:val="00A65FA9"/>
    <w:rsid w:val="00A66711"/>
    <w:rsid w:val="00A66801"/>
    <w:rsid w:val="00A67E85"/>
    <w:rsid w:val="00A71F0F"/>
    <w:rsid w:val="00A72659"/>
    <w:rsid w:val="00A733A7"/>
    <w:rsid w:val="00A73A36"/>
    <w:rsid w:val="00A74746"/>
    <w:rsid w:val="00A74EC8"/>
    <w:rsid w:val="00A75B20"/>
    <w:rsid w:val="00A760DE"/>
    <w:rsid w:val="00A76584"/>
    <w:rsid w:val="00A76BE1"/>
    <w:rsid w:val="00A8017D"/>
    <w:rsid w:val="00A816E0"/>
    <w:rsid w:val="00A81D8C"/>
    <w:rsid w:val="00A83395"/>
    <w:rsid w:val="00A853C7"/>
    <w:rsid w:val="00A860C1"/>
    <w:rsid w:val="00A86423"/>
    <w:rsid w:val="00A86BD2"/>
    <w:rsid w:val="00A903DC"/>
    <w:rsid w:val="00A913D8"/>
    <w:rsid w:val="00A920D0"/>
    <w:rsid w:val="00A92464"/>
    <w:rsid w:val="00A92625"/>
    <w:rsid w:val="00A92710"/>
    <w:rsid w:val="00A92BE4"/>
    <w:rsid w:val="00A92F75"/>
    <w:rsid w:val="00A93C89"/>
    <w:rsid w:val="00A960C8"/>
    <w:rsid w:val="00A96999"/>
    <w:rsid w:val="00A97EBF"/>
    <w:rsid w:val="00AA02FC"/>
    <w:rsid w:val="00AA0A1F"/>
    <w:rsid w:val="00AA12EA"/>
    <w:rsid w:val="00AA16B9"/>
    <w:rsid w:val="00AA2768"/>
    <w:rsid w:val="00AA3DDD"/>
    <w:rsid w:val="00AA4923"/>
    <w:rsid w:val="00AA4D80"/>
    <w:rsid w:val="00AA552E"/>
    <w:rsid w:val="00AA55E0"/>
    <w:rsid w:val="00AA5C69"/>
    <w:rsid w:val="00AB1BD0"/>
    <w:rsid w:val="00AB202C"/>
    <w:rsid w:val="00AB25C2"/>
    <w:rsid w:val="00AB28C5"/>
    <w:rsid w:val="00AB3978"/>
    <w:rsid w:val="00AB458F"/>
    <w:rsid w:val="00AB4E1D"/>
    <w:rsid w:val="00AB635B"/>
    <w:rsid w:val="00AB6601"/>
    <w:rsid w:val="00AB6641"/>
    <w:rsid w:val="00AB6AA5"/>
    <w:rsid w:val="00AB75DF"/>
    <w:rsid w:val="00AC0DEA"/>
    <w:rsid w:val="00AC25A0"/>
    <w:rsid w:val="00AC2614"/>
    <w:rsid w:val="00AC37E3"/>
    <w:rsid w:val="00AC3EF3"/>
    <w:rsid w:val="00AC4234"/>
    <w:rsid w:val="00AC468E"/>
    <w:rsid w:val="00AC539D"/>
    <w:rsid w:val="00AC64BF"/>
    <w:rsid w:val="00AC70E3"/>
    <w:rsid w:val="00AC73C2"/>
    <w:rsid w:val="00AC7CEB"/>
    <w:rsid w:val="00AD05AC"/>
    <w:rsid w:val="00AD0C6F"/>
    <w:rsid w:val="00AD1F3D"/>
    <w:rsid w:val="00AD2794"/>
    <w:rsid w:val="00AD2FED"/>
    <w:rsid w:val="00AD4B38"/>
    <w:rsid w:val="00AD5368"/>
    <w:rsid w:val="00AD5535"/>
    <w:rsid w:val="00AD7D29"/>
    <w:rsid w:val="00AE0911"/>
    <w:rsid w:val="00AE146D"/>
    <w:rsid w:val="00AE1705"/>
    <w:rsid w:val="00AE4E49"/>
    <w:rsid w:val="00AE5CA5"/>
    <w:rsid w:val="00AE6165"/>
    <w:rsid w:val="00AE6447"/>
    <w:rsid w:val="00AE685D"/>
    <w:rsid w:val="00AE742A"/>
    <w:rsid w:val="00AE7C5A"/>
    <w:rsid w:val="00AF0F99"/>
    <w:rsid w:val="00AF1314"/>
    <w:rsid w:val="00AF1A61"/>
    <w:rsid w:val="00AF1F37"/>
    <w:rsid w:val="00AF240C"/>
    <w:rsid w:val="00AF35EC"/>
    <w:rsid w:val="00AF3F28"/>
    <w:rsid w:val="00AF55F3"/>
    <w:rsid w:val="00AF56A2"/>
    <w:rsid w:val="00AF68F3"/>
    <w:rsid w:val="00AF7551"/>
    <w:rsid w:val="00AF7556"/>
    <w:rsid w:val="00B0332F"/>
    <w:rsid w:val="00B039D7"/>
    <w:rsid w:val="00B03F61"/>
    <w:rsid w:val="00B045B9"/>
    <w:rsid w:val="00B04877"/>
    <w:rsid w:val="00B06F65"/>
    <w:rsid w:val="00B07171"/>
    <w:rsid w:val="00B100AD"/>
    <w:rsid w:val="00B10661"/>
    <w:rsid w:val="00B11093"/>
    <w:rsid w:val="00B1129E"/>
    <w:rsid w:val="00B12049"/>
    <w:rsid w:val="00B12C4D"/>
    <w:rsid w:val="00B13B64"/>
    <w:rsid w:val="00B13EAD"/>
    <w:rsid w:val="00B14FC0"/>
    <w:rsid w:val="00B150F7"/>
    <w:rsid w:val="00B16D84"/>
    <w:rsid w:val="00B17117"/>
    <w:rsid w:val="00B17F07"/>
    <w:rsid w:val="00B21E47"/>
    <w:rsid w:val="00B223F6"/>
    <w:rsid w:val="00B22C28"/>
    <w:rsid w:val="00B22FE4"/>
    <w:rsid w:val="00B256B2"/>
    <w:rsid w:val="00B25909"/>
    <w:rsid w:val="00B2626D"/>
    <w:rsid w:val="00B27BA2"/>
    <w:rsid w:val="00B3008C"/>
    <w:rsid w:val="00B30582"/>
    <w:rsid w:val="00B30E1C"/>
    <w:rsid w:val="00B3338B"/>
    <w:rsid w:val="00B34011"/>
    <w:rsid w:val="00B35979"/>
    <w:rsid w:val="00B36572"/>
    <w:rsid w:val="00B37A45"/>
    <w:rsid w:val="00B41390"/>
    <w:rsid w:val="00B418C8"/>
    <w:rsid w:val="00B42147"/>
    <w:rsid w:val="00B4224C"/>
    <w:rsid w:val="00B42444"/>
    <w:rsid w:val="00B42724"/>
    <w:rsid w:val="00B430CB"/>
    <w:rsid w:val="00B44774"/>
    <w:rsid w:val="00B449C8"/>
    <w:rsid w:val="00B44EA8"/>
    <w:rsid w:val="00B44EA9"/>
    <w:rsid w:val="00B4506B"/>
    <w:rsid w:val="00B45D8A"/>
    <w:rsid w:val="00B46094"/>
    <w:rsid w:val="00B46D69"/>
    <w:rsid w:val="00B51D0B"/>
    <w:rsid w:val="00B54BF5"/>
    <w:rsid w:val="00B54E68"/>
    <w:rsid w:val="00B55768"/>
    <w:rsid w:val="00B56969"/>
    <w:rsid w:val="00B5779E"/>
    <w:rsid w:val="00B612DC"/>
    <w:rsid w:val="00B62C9C"/>
    <w:rsid w:val="00B63991"/>
    <w:rsid w:val="00B64E8C"/>
    <w:rsid w:val="00B71C84"/>
    <w:rsid w:val="00B73812"/>
    <w:rsid w:val="00B74A38"/>
    <w:rsid w:val="00B770AF"/>
    <w:rsid w:val="00B77669"/>
    <w:rsid w:val="00B814E9"/>
    <w:rsid w:val="00B83A1D"/>
    <w:rsid w:val="00B83AB4"/>
    <w:rsid w:val="00B845B2"/>
    <w:rsid w:val="00B84CA5"/>
    <w:rsid w:val="00B879B8"/>
    <w:rsid w:val="00B87FEB"/>
    <w:rsid w:val="00B904BA"/>
    <w:rsid w:val="00B91032"/>
    <w:rsid w:val="00B94CDD"/>
    <w:rsid w:val="00B96381"/>
    <w:rsid w:val="00B965EC"/>
    <w:rsid w:val="00B9672A"/>
    <w:rsid w:val="00B96D57"/>
    <w:rsid w:val="00B9736E"/>
    <w:rsid w:val="00BA0598"/>
    <w:rsid w:val="00BA1C7A"/>
    <w:rsid w:val="00BA2048"/>
    <w:rsid w:val="00BA242E"/>
    <w:rsid w:val="00BA41E0"/>
    <w:rsid w:val="00BA4A57"/>
    <w:rsid w:val="00BA6238"/>
    <w:rsid w:val="00BA631B"/>
    <w:rsid w:val="00BA68B8"/>
    <w:rsid w:val="00BA748E"/>
    <w:rsid w:val="00BA7E29"/>
    <w:rsid w:val="00BB004E"/>
    <w:rsid w:val="00BB0E66"/>
    <w:rsid w:val="00BB14F5"/>
    <w:rsid w:val="00BB24D4"/>
    <w:rsid w:val="00BB29CA"/>
    <w:rsid w:val="00BB3AE1"/>
    <w:rsid w:val="00BB41F1"/>
    <w:rsid w:val="00BB503A"/>
    <w:rsid w:val="00BB521E"/>
    <w:rsid w:val="00BB5921"/>
    <w:rsid w:val="00BB5B30"/>
    <w:rsid w:val="00BB75E9"/>
    <w:rsid w:val="00BB7C61"/>
    <w:rsid w:val="00BC0E34"/>
    <w:rsid w:val="00BC25E8"/>
    <w:rsid w:val="00BC25F0"/>
    <w:rsid w:val="00BC37B0"/>
    <w:rsid w:val="00BC3A6C"/>
    <w:rsid w:val="00BC4133"/>
    <w:rsid w:val="00BC4390"/>
    <w:rsid w:val="00BC652B"/>
    <w:rsid w:val="00BC6CE0"/>
    <w:rsid w:val="00BC6E0D"/>
    <w:rsid w:val="00BD17A1"/>
    <w:rsid w:val="00BD1C03"/>
    <w:rsid w:val="00BD32BA"/>
    <w:rsid w:val="00BD4419"/>
    <w:rsid w:val="00BD4BB1"/>
    <w:rsid w:val="00BD5156"/>
    <w:rsid w:val="00BD5D6A"/>
    <w:rsid w:val="00BD7FAF"/>
    <w:rsid w:val="00BE15A9"/>
    <w:rsid w:val="00BE1B3B"/>
    <w:rsid w:val="00BE1D64"/>
    <w:rsid w:val="00BE2B56"/>
    <w:rsid w:val="00BE332A"/>
    <w:rsid w:val="00BE41AC"/>
    <w:rsid w:val="00BE4AC9"/>
    <w:rsid w:val="00BE50F4"/>
    <w:rsid w:val="00BE55E2"/>
    <w:rsid w:val="00BE570F"/>
    <w:rsid w:val="00BE5867"/>
    <w:rsid w:val="00BE5DE2"/>
    <w:rsid w:val="00BE617D"/>
    <w:rsid w:val="00BE6515"/>
    <w:rsid w:val="00BE6B80"/>
    <w:rsid w:val="00BE6E99"/>
    <w:rsid w:val="00BE702F"/>
    <w:rsid w:val="00BE7055"/>
    <w:rsid w:val="00BE77AF"/>
    <w:rsid w:val="00BE7EC5"/>
    <w:rsid w:val="00BF0EAE"/>
    <w:rsid w:val="00BF30F4"/>
    <w:rsid w:val="00BF3BD5"/>
    <w:rsid w:val="00BF658F"/>
    <w:rsid w:val="00BF7A75"/>
    <w:rsid w:val="00BF7B15"/>
    <w:rsid w:val="00C00966"/>
    <w:rsid w:val="00C02DC7"/>
    <w:rsid w:val="00C03A6B"/>
    <w:rsid w:val="00C03BDF"/>
    <w:rsid w:val="00C03F05"/>
    <w:rsid w:val="00C05D7D"/>
    <w:rsid w:val="00C063BB"/>
    <w:rsid w:val="00C07639"/>
    <w:rsid w:val="00C076B5"/>
    <w:rsid w:val="00C10411"/>
    <w:rsid w:val="00C11883"/>
    <w:rsid w:val="00C11C59"/>
    <w:rsid w:val="00C11E21"/>
    <w:rsid w:val="00C12167"/>
    <w:rsid w:val="00C12926"/>
    <w:rsid w:val="00C129E6"/>
    <w:rsid w:val="00C143F1"/>
    <w:rsid w:val="00C1443A"/>
    <w:rsid w:val="00C15162"/>
    <w:rsid w:val="00C1531B"/>
    <w:rsid w:val="00C16137"/>
    <w:rsid w:val="00C163EC"/>
    <w:rsid w:val="00C16F9E"/>
    <w:rsid w:val="00C20431"/>
    <w:rsid w:val="00C217B0"/>
    <w:rsid w:val="00C2185F"/>
    <w:rsid w:val="00C2266D"/>
    <w:rsid w:val="00C23129"/>
    <w:rsid w:val="00C233D2"/>
    <w:rsid w:val="00C25558"/>
    <w:rsid w:val="00C26F06"/>
    <w:rsid w:val="00C27B48"/>
    <w:rsid w:val="00C27F32"/>
    <w:rsid w:val="00C27F6C"/>
    <w:rsid w:val="00C30F52"/>
    <w:rsid w:val="00C331BF"/>
    <w:rsid w:val="00C33240"/>
    <w:rsid w:val="00C33B07"/>
    <w:rsid w:val="00C33BC6"/>
    <w:rsid w:val="00C34A2E"/>
    <w:rsid w:val="00C35409"/>
    <w:rsid w:val="00C3634B"/>
    <w:rsid w:val="00C3706B"/>
    <w:rsid w:val="00C402D9"/>
    <w:rsid w:val="00C41272"/>
    <w:rsid w:val="00C41BC3"/>
    <w:rsid w:val="00C41EB8"/>
    <w:rsid w:val="00C4276A"/>
    <w:rsid w:val="00C42B04"/>
    <w:rsid w:val="00C43503"/>
    <w:rsid w:val="00C45DE9"/>
    <w:rsid w:val="00C465E4"/>
    <w:rsid w:val="00C46F0E"/>
    <w:rsid w:val="00C50282"/>
    <w:rsid w:val="00C510F0"/>
    <w:rsid w:val="00C544B8"/>
    <w:rsid w:val="00C554CA"/>
    <w:rsid w:val="00C55C7F"/>
    <w:rsid w:val="00C55E43"/>
    <w:rsid w:val="00C577A1"/>
    <w:rsid w:val="00C5792B"/>
    <w:rsid w:val="00C609DA"/>
    <w:rsid w:val="00C60BBA"/>
    <w:rsid w:val="00C61344"/>
    <w:rsid w:val="00C61B95"/>
    <w:rsid w:val="00C61D04"/>
    <w:rsid w:val="00C62540"/>
    <w:rsid w:val="00C63875"/>
    <w:rsid w:val="00C64F77"/>
    <w:rsid w:val="00C64FB3"/>
    <w:rsid w:val="00C65572"/>
    <w:rsid w:val="00C66E78"/>
    <w:rsid w:val="00C67480"/>
    <w:rsid w:val="00C67788"/>
    <w:rsid w:val="00C70CCC"/>
    <w:rsid w:val="00C718A9"/>
    <w:rsid w:val="00C718C8"/>
    <w:rsid w:val="00C720CD"/>
    <w:rsid w:val="00C73171"/>
    <w:rsid w:val="00C73FCD"/>
    <w:rsid w:val="00C7406A"/>
    <w:rsid w:val="00C7421D"/>
    <w:rsid w:val="00C75F84"/>
    <w:rsid w:val="00C763D4"/>
    <w:rsid w:val="00C772A6"/>
    <w:rsid w:val="00C776A7"/>
    <w:rsid w:val="00C80B50"/>
    <w:rsid w:val="00C80FD4"/>
    <w:rsid w:val="00C820E9"/>
    <w:rsid w:val="00C831C4"/>
    <w:rsid w:val="00C8350B"/>
    <w:rsid w:val="00C83661"/>
    <w:rsid w:val="00C83714"/>
    <w:rsid w:val="00C83812"/>
    <w:rsid w:val="00C83867"/>
    <w:rsid w:val="00C84672"/>
    <w:rsid w:val="00C846B0"/>
    <w:rsid w:val="00C86706"/>
    <w:rsid w:val="00C86C31"/>
    <w:rsid w:val="00C87744"/>
    <w:rsid w:val="00C87DA1"/>
    <w:rsid w:val="00C905BD"/>
    <w:rsid w:val="00C90D9E"/>
    <w:rsid w:val="00C91A07"/>
    <w:rsid w:val="00C91B69"/>
    <w:rsid w:val="00C938AA"/>
    <w:rsid w:val="00C94B91"/>
    <w:rsid w:val="00C94E6A"/>
    <w:rsid w:val="00C9667F"/>
    <w:rsid w:val="00C96814"/>
    <w:rsid w:val="00C97E21"/>
    <w:rsid w:val="00CA0858"/>
    <w:rsid w:val="00CA1016"/>
    <w:rsid w:val="00CA12F0"/>
    <w:rsid w:val="00CA1524"/>
    <w:rsid w:val="00CA203E"/>
    <w:rsid w:val="00CA28F1"/>
    <w:rsid w:val="00CA2CFE"/>
    <w:rsid w:val="00CA31B5"/>
    <w:rsid w:val="00CA409C"/>
    <w:rsid w:val="00CA63D0"/>
    <w:rsid w:val="00CA6726"/>
    <w:rsid w:val="00CA7C78"/>
    <w:rsid w:val="00CA7D60"/>
    <w:rsid w:val="00CB0074"/>
    <w:rsid w:val="00CB0FBA"/>
    <w:rsid w:val="00CB320F"/>
    <w:rsid w:val="00CB4808"/>
    <w:rsid w:val="00CB5518"/>
    <w:rsid w:val="00CB6082"/>
    <w:rsid w:val="00CB7A65"/>
    <w:rsid w:val="00CB7D20"/>
    <w:rsid w:val="00CC01C0"/>
    <w:rsid w:val="00CC0E4E"/>
    <w:rsid w:val="00CC26CD"/>
    <w:rsid w:val="00CC2EB9"/>
    <w:rsid w:val="00CC3A3B"/>
    <w:rsid w:val="00CC3C32"/>
    <w:rsid w:val="00CC54F0"/>
    <w:rsid w:val="00CC5A28"/>
    <w:rsid w:val="00CC5C7B"/>
    <w:rsid w:val="00CC6D6C"/>
    <w:rsid w:val="00CC7F46"/>
    <w:rsid w:val="00CD0AD7"/>
    <w:rsid w:val="00CD1683"/>
    <w:rsid w:val="00CD1931"/>
    <w:rsid w:val="00CD1C50"/>
    <w:rsid w:val="00CD1E9F"/>
    <w:rsid w:val="00CD3161"/>
    <w:rsid w:val="00CD3E8C"/>
    <w:rsid w:val="00CD5D7C"/>
    <w:rsid w:val="00CD65A0"/>
    <w:rsid w:val="00CD695B"/>
    <w:rsid w:val="00CE012B"/>
    <w:rsid w:val="00CE085F"/>
    <w:rsid w:val="00CE35E1"/>
    <w:rsid w:val="00CE3DA7"/>
    <w:rsid w:val="00CE4DB0"/>
    <w:rsid w:val="00CE5A97"/>
    <w:rsid w:val="00CE6102"/>
    <w:rsid w:val="00CE63B8"/>
    <w:rsid w:val="00CE6763"/>
    <w:rsid w:val="00CE6BF4"/>
    <w:rsid w:val="00CE76B0"/>
    <w:rsid w:val="00CF1CA3"/>
    <w:rsid w:val="00CF305F"/>
    <w:rsid w:val="00CF3BEA"/>
    <w:rsid w:val="00CF41D2"/>
    <w:rsid w:val="00CF42DF"/>
    <w:rsid w:val="00CF4AB0"/>
    <w:rsid w:val="00CF545B"/>
    <w:rsid w:val="00CF5DFB"/>
    <w:rsid w:val="00CF5F10"/>
    <w:rsid w:val="00CF686A"/>
    <w:rsid w:val="00CF6F32"/>
    <w:rsid w:val="00D01AA9"/>
    <w:rsid w:val="00D01F39"/>
    <w:rsid w:val="00D01FCF"/>
    <w:rsid w:val="00D0277D"/>
    <w:rsid w:val="00D03339"/>
    <w:rsid w:val="00D03B24"/>
    <w:rsid w:val="00D043F0"/>
    <w:rsid w:val="00D0450A"/>
    <w:rsid w:val="00D05704"/>
    <w:rsid w:val="00D06A59"/>
    <w:rsid w:val="00D0755E"/>
    <w:rsid w:val="00D105A5"/>
    <w:rsid w:val="00D10E80"/>
    <w:rsid w:val="00D11908"/>
    <w:rsid w:val="00D13230"/>
    <w:rsid w:val="00D134B3"/>
    <w:rsid w:val="00D156F9"/>
    <w:rsid w:val="00D164E5"/>
    <w:rsid w:val="00D167CF"/>
    <w:rsid w:val="00D16B10"/>
    <w:rsid w:val="00D17E5F"/>
    <w:rsid w:val="00D21B7A"/>
    <w:rsid w:val="00D2299C"/>
    <w:rsid w:val="00D22C16"/>
    <w:rsid w:val="00D2339B"/>
    <w:rsid w:val="00D23671"/>
    <w:rsid w:val="00D24463"/>
    <w:rsid w:val="00D2475A"/>
    <w:rsid w:val="00D24EF0"/>
    <w:rsid w:val="00D251D3"/>
    <w:rsid w:val="00D27ADC"/>
    <w:rsid w:val="00D3125D"/>
    <w:rsid w:val="00D3195B"/>
    <w:rsid w:val="00D31EF0"/>
    <w:rsid w:val="00D32928"/>
    <w:rsid w:val="00D346A2"/>
    <w:rsid w:val="00D34B90"/>
    <w:rsid w:val="00D35250"/>
    <w:rsid w:val="00D35D19"/>
    <w:rsid w:val="00D36FB0"/>
    <w:rsid w:val="00D37124"/>
    <w:rsid w:val="00D37182"/>
    <w:rsid w:val="00D379B6"/>
    <w:rsid w:val="00D40250"/>
    <w:rsid w:val="00D41E9F"/>
    <w:rsid w:val="00D43BB5"/>
    <w:rsid w:val="00D44758"/>
    <w:rsid w:val="00D4732D"/>
    <w:rsid w:val="00D4748C"/>
    <w:rsid w:val="00D47742"/>
    <w:rsid w:val="00D50CCD"/>
    <w:rsid w:val="00D50EDF"/>
    <w:rsid w:val="00D5191F"/>
    <w:rsid w:val="00D538C9"/>
    <w:rsid w:val="00D54364"/>
    <w:rsid w:val="00D550E9"/>
    <w:rsid w:val="00D55979"/>
    <w:rsid w:val="00D560D3"/>
    <w:rsid w:val="00D57785"/>
    <w:rsid w:val="00D577E9"/>
    <w:rsid w:val="00D60016"/>
    <w:rsid w:val="00D61DC9"/>
    <w:rsid w:val="00D62763"/>
    <w:rsid w:val="00D6279C"/>
    <w:rsid w:val="00D62AFF"/>
    <w:rsid w:val="00D63F73"/>
    <w:rsid w:val="00D64492"/>
    <w:rsid w:val="00D6471A"/>
    <w:rsid w:val="00D64CD1"/>
    <w:rsid w:val="00D658E5"/>
    <w:rsid w:val="00D66058"/>
    <w:rsid w:val="00D67F61"/>
    <w:rsid w:val="00D71E2B"/>
    <w:rsid w:val="00D724F6"/>
    <w:rsid w:val="00D72AA0"/>
    <w:rsid w:val="00D739E2"/>
    <w:rsid w:val="00D75632"/>
    <w:rsid w:val="00D75A1C"/>
    <w:rsid w:val="00D7668E"/>
    <w:rsid w:val="00D774A3"/>
    <w:rsid w:val="00D77D9A"/>
    <w:rsid w:val="00D80167"/>
    <w:rsid w:val="00D849E0"/>
    <w:rsid w:val="00D8500F"/>
    <w:rsid w:val="00D85C4E"/>
    <w:rsid w:val="00D8765C"/>
    <w:rsid w:val="00D91543"/>
    <w:rsid w:val="00D9244B"/>
    <w:rsid w:val="00D9259F"/>
    <w:rsid w:val="00D937B5"/>
    <w:rsid w:val="00D93B04"/>
    <w:rsid w:val="00D948A1"/>
    <w:rsid w:val="00D9578A"/>
    <w:rsid w:val="00D964A5"/>
    <w:rsid w:val="00D96A9F"/>
    <w:rsid w:val="00DA0104"/>
    <w:rsid w:val="00DA2050"/>
    <w:rsid w:val="00DA3968"/>
    <w:rsid w:val="00DA4164"/>
    <w:rsid w:val="00DA70FF"/>
    <w:rsid w:val="00DA773D"/>
    <w:rsid w:val="00DA78C7"/>
    <w:rsid w:val="00DB0665"/>
    <w:rsid w:val="00DB3E2C"/>
    <w:rsid w:val="00DB48A3"/>
    <w:rsid w:val="00DB558B"/>
    <w:rsid w:val="00DB5862"/>
    <w:rsid w:val="00DB5AE5"/>
    <w:rsid w:val="00DB6C81"/>
    <w:rsid w:val="00DB6FC3"/>
    <w:rsid w:val="00DB72A7"/>
    <w:rsid w:val="00DB7D21"/>
    <w:rsid w:val="00DC1228"/>
    <w:rsid w:val="00DC1B3D"/>
    <w:rsid w:val="00DC20C9"/>
    <w:rsid w:val="00DC33D1"/>
    <w:rsid w:val="00DC4D61"/>
    <w:rsid w:val="00DC610C"/>
    <w:rsid w:val="00DC65FC"/>
    <w:rsid w:val="00DC665B"/>
    <w:rsid w:val="00DC6E44"/>
    <w:rsid w:val="00DC74CE"/>
    <w:rsid w:val="00DC754E"/>
    <w:rsid w:val="00DD1E04"/>
    <w:rsid w:val="00DD2737"/>
    <w:rsid w:val="00DD29EE"/>
    <w:rsid w:val="00DD3793"/>
    <w:rsid w:val="00DD434E"/>
    <w:rsid w:val="00DD69C0"/>
    <w:rsid w:val="00DD7CEA"/>
    <w:rsid w:val="00DE0B53"/>
    <w:rsid w:val="00DE158D"/>
    <w:rsid w:val="00DE16BA"/>
    <w:rsid w:val="00DE1AE7"/>
    <w:rsid w:val="00DE1ED2"/>
    <w:rsid w:val="00DE2073"/>
    <w:rsid w:val="00DE2CA9"/>
    <w:rsid w:val="00DE2DF9"/>
    <w:rsid w:val="00DE36E8"/>
    <w:rsid w:val="00DE4A85"/>
    <w:rsid w:val="00DE5D71"/>
    <w:rsid w:val="00DE675D"/>
    <w:rsid w:val="00DE7B84"/>
    <w:rsid w:val="00DE7C95"/>
    <w:rsid w:val="00DF1C32"/>
    <w:rsid w:val="00DF317B"/>
    <w:rsid w:val="00DF32D4"/>
    <w:rsid w:val="00DF464E"/>
    <w:rsid w:val="00DF5668"/>
    <w:rsid w:val="00DF5F6F"/>
    <w:rsid w:val="00DF7018"/>
    <w:rsid w:val="00DF7968"/>
    <w:rsid w:val="00DF7D3E"/>
    <w:rsid w:val="00DF7DD6"/>
    <w:rsid w:val="00E0087F"/>
    <w:rsid w:val="00E02025"/>
    <w:rsid w:val="00E027E4"/>
    <w:rsid w:val="00E02C56"/>
    <w:rsid w:val="00E0387C"/>
    <w:rsid w:val="00E059A8"/>
    <w:rsid w:val="00E05B5D"/>
    <w:rsid w:val="00E05B72"/>
    <w:rsid w:val="00E05B96"/>
    <w:rsid w:val="00E05D90"/>
    <w:rsid w:val="00E06898"/>
    <w:rsid w:val="00E07B17"/>
    <w:rsid w:val="00E1052E"/>
    <w:rsid w:val="00E12E32"/>
    <w:rsid w:val="00E132A6"/>
    <w:rsid w:val="00E1350F"/>
    <w:rsid w:val="00E139AE"/>
    <w:rsid w:val="00E13AA2"/>
    <w:rsid w:val="00E143DE"/>
    <w:rsid w:val="00E146CC"/>
    <w:rsid w:val="00E14D81"/>
    <w:rsid w:val="00E158DB"/>
    <w:rsid w:val="00E2015B"/>
    <w:rsid w:val="00E2387D"/>
    <w:rsid w:val="00E23C6A"/>
    <w:rsid w:val="00E24083"/>
    <w:rsid w:val="00E24726"/>
    <w:rsid w:val="00E25513"/>
    <w:rsid w:val="00E25912"/>
    <w:rsid w:val="00E30FF8"/>
    <w:rsid w:val="00E31639"/>
    <w:rsid w:val="00E335A8"/>
    <w:rsid w:val="00E33BF7"/>
    <w:rsid w:val="00E34A95"/>
    <w:rsid w:val="00E35CBC"/>
    <w:rsid w:val="00E360B9"/>
    <w:rsid w:val="00E36ABC"/>
    <w:rsid w:val="00E36AF1"/>
    <w:rsid w:val="00E417F2"/>
    <w:rsid w:val="00E42047"/>
    <w:rsid w:val="00E424A3"/>
    <w:rsid w:val="00E4469E"/>
    <w:rsid w:val="00E44D1A"/>
    <w:rsid w:val="00E44F92"/>
    <w:rsid w:val="00E45BDE"/>
    <w:rsid w:val="00E46FAD"/>
    <w:rsid w:val="00E47839"/>
    <w:rsid w:val="00E47DC3"/>
    <w:rsid w:val="00E47DDE"/>
    <w:rsid w:val="00E50FBE"/>
    <w:rsid w:val="00E51BFF"/>
    <w:rsid w:val="00E51D22"/>
    <w:rsid w:val="00E53103"/>
    <w:rsid w:val="00E53630"/>
    <w:rsid w:val="00E53A78"/>
    <w:rsid w:val="00E55EB6"/>
    <w:rsid w:val="00E56283"/>
    <w:rsid w:val="00E6002F"/>
    <w:rsid w:val="00E611FF"/>
    <w:rsid w:val="00E615CB"/>
    <w:rsid w:val="00E632AA"/>
    <w:rsid w:val="00E63DC1"/>
    <w:rsid w:val="00E65961"/>
    <w:rsid w:val="00E70DF5"/>
    <w:rsid w:val="00E711C6"/>
    <w:rsid w:val="00E71E1F"/>
    <w:rsid w:val="00E72690"/>
    <w:rsid w:val="00E72B1F"/>
    <w:rsid w:val="00E72F28"/>
    <w:rsid w:val="00E74D89"/>
    <w:rsid w:val="00E74D99"/>
    <w:rsid w:val="00E75DA1"/>
    <w:rsid w:val="00E80351"/>
    <w:rsid w:val="00E8069D"/>
    <w:rsid w:val="00E80AE8"/>
    <w:rsid w:val="00E81A27"/>
    <w:rsid w:val="00E83154"/>
    <w:rsid w:val="00E85BF6"/>
    <w:rsid w:val="00E86F6D"/>
    <w:rsid w:val="00E87F5B"/>
    <w:rsid w:val="00E90D17"/>
    <w:rsid w:val="00E90FE0"/>
    <w:rsid w:val="00E914B2"/>
    <w:rsid w:val="00E91C60"/>
    <w:rsid w:val="00E92152"/>
    <w:rsid w:val="00E92C74"/>
    <w:rsid w:val="00E937F2"/>
    <w:rsid w:val="00E94D03"/>
    <w:rsid w:val="00E967FC"/>
    <w:rsid w:val="00E96A38"/>
    <w:rsid w:val="00E96FF5"/>
    <w:rsid w:val="00EA0FBA"/>
    <w:rsid w:val="00EA24C2"/>
    <w:rsid w:val="00EA25FE"/>
    <w:rsid w:val="00EA27F9"/>
    <w:rsid w:val="00EA327D"/>
    <w:rsid w:val="00EA3BC5"/>
    <w:rsid w:val="00EA5292"/>
    <w:rsid w:val="00EA54BD"/>
    <w:rsid w:val="00EA580C"/>
    <w:rsid w:val="00EA6F33"/>
    <w:rsid w:val="00EA7ED5"/>
    <w:rsid w:val="00EB2E16"/>
    <w:rsid w:val="00EB53D1"/>
    <w:rsid w:val="00EB5C16"/>
    <w:rsid w:val="00EB747A"/>
    <w:rsid w:val="00EC061A"/>
    <w:rsid w:val="00EC0B61"/>
    <w:rsid w:val="00EC0F1A"/>
    <w:rsid w:val="00EC1275"/>
    <w:rsid w:val="00EC2740"/>
    <w:rsid w:val="00EC3DFC"/>
    <w:rsid w:val="00EC427A"/>
    <w:rsid w:val="00EC4A50"/>
    <w:rsid w:val="00EC505E"/>
    <w:rsid w:val="00EC7E08"/>
    <w:rsid w:val="00ED1867"/>
    <w:rsid w:val="00ED1AA5"/>
    <w:rsid w:val="00ED20E9"/>
    <w:rsid w:val="00ED2ED5"/>
    <w:rsid w:val="00ED44F5"/>
    <w:rsid w:val="00ED62A6"/>
    <w:rsid w:val="00ED74B4"/>
    <w:rsid w:val="00EE0821"/>
    <w:rsid w:val="00EE09FE"/>
    <w:rsid w:val="00EE1876"/>
    <w:rsid w:val="00EE1F0B"/>
    <w:rsid w:val="00EE4231"/>
    <w:rsid w:val="00EE4D3E"/>
    <w:rsid w:val="00EE5117"/>
    <w:rsid w:val="00EE5F6C"/>
    <w:rsid w:val="00EE69A3"/>
    <w:rsid w:val="00EF0D8E"/>
    <w:rsid w:val="00EF0E81"/>
    <w:rsid w:val="00EF1117"/>
    <w:rsid w:val="00EF2361"/>
    <w:rsid w:val="00EF39A5"/>
    <w:rsid w:val="00EF48A3"/>
    <w:rsid w:val="00EF631F"/>
    <w:rsid w:val="00EF7D95"/>
    <w:rsid w:val="00F00AB8"/>
    <w:rsid w:val="00F01027"/>
    <w:rsid w:val="00F01601"/>
    <w:rsid w:val="00F02665"/>
    <w:rsid w:val="00F03099"/>
    <w:rsid w:val="00F0332A"/>
    <w:rsid w:val="00F065EC"/>
    <w:rsid w:val="00F06A5B"/>
    <w:rsid w:val="00F07276"/>
    <w:rsid w:val="00F12882"/>
    <w:rsid w:val="00F12FD2"/>
    <w:rsid w:val="00F139EF"/>
    <w:rsid w:val="00F1439C"/>
    <w:rsid w:val="00F1489E"/>
    <w:rsid w:val="00F15283"/>
    <w:rsid w:val="00F154D5"/>
    <w:rsid w:val="00F15516"/>
    <w:rsid w:val="00F15E97"/>
    <w:rsid w:val="00F16D90"/>
    <w:rsid w:val="00F21114"/>
    <w:rsid w:val="00F21711"/>
    <w:rsid w:val="00F21730"/>
    <w:rsid w:val="00F21D0C"/>
    <w:rsid w:val="00F21EB5"/>
    <w:rsid w:val="00F24251"/>
    <w:rsid w:val="00F24CE3"/>
    <w:rsid w:val="00F25A04"/>
    <w:rsid w:val="00F25B93"/>
    <w:rsid w:val="00F267E0"/>
    <w:rsid w:val="00F26B08"/>
    <w:rsid w:val="00F277E6"/>
    <w:rsid w:val="00F3285E"/>
    <w:rsid w:val="00F33D06"/>
    <w:rsid w:val="00F34E1C"/>
    <w:rsid w:val="00F356B7"/>
    <w:rsid w:val="00F35D0B"/>
    <w:rsid w:val="00F3660F"/>
    <w:rsid w:val="00F36B40"/>
    <w:rsid w:val="00F424AF"/>
    <w:rsid w:val="00F424EC"/>
    <w:rsid w:val="00F44649"/>
    <w:rsid w:val="00F452C9"/>
    <w:rsid w:val="00F46553"/>
    <w:rsid w:val="00F46577"/>
    <w:rsid w:val="00F503C7"/>
    <w:rsid w:val="00F527CA"/>
    <w:rsid w:val="00F52C24"/>
    <w:rsid w:val="00F536A7"/>
    <w:rsid w:val="00F53B70"/>
    <w:rsid w:val="00F53D11"/>
    <w:rsid w:val="00F54123"/>
    <w:rsid w:val="00F55530"/>
    <w:rsid w:val="00F56247"/>
    <w:rsid w:val="00F57547"/>
    <w:rsid w:val="00F61487"/>
    <w:rsid w:val="00F62A72"/>
    <w:rsid w:val="00F634BA"/>
    <w:rsid w:val="00F65A56"/>
    <w:rsid w:val="00F65F74"/>
    <w:rsid w:val="00F66434"/>
    <w:rsid w:val="00F66CCA"/>
    <w:rsid w:val="00F70098"/>
    <w:rsid w:val="00F70E13"/>
    <w:rsid w:val="00F71A1C"/>
    <w:rsid w:val="00F723CF"/>
    <w:rsid w:val="00F72435"/>
    <w:rsid w:val="00F73582"/>
    <w:rsid w:val="00F76188"/>
    <w:rsid w:val="00F77D45"/>
    <w:rsid w:val="00F81568"/>
    <w:rsid w:val="00F8163E"/>
    <w:rsid w:val="00F81753"/>
    <w:rsid w:val="00F81AC4"/>
    <w:rsid w:val="00F81DAD"/>
    <w:rsid w:val="00F82B55"/>
    <w:rsid w:val="00F833AB"/>
    <w:rsid w:val="00F846AC"/>
    <w:rsid w:val="00F84C9E"/>
    <w:rsid w:val="00F85C89"/>
    <w:rsid w:val="00F86652"/>
    <w:rsid w:val="00F868D5"/>
    <w:rsid w:val="00F87283"/>
    <w:rsid w:val="00F9211C"/>
    <w:rsid w:val="00F92E15"/>
    <w:rsid w:val="00F94319"/>
    <w:rsid w:val="00F95241"/>
    <w:rsid w:val="00F955CD"/>
    <w:rsid w:val="00F95789"/>
    <w:rsid w:val="00F957C8"/>
    <w:rsid w:val="00F958AC"/>
    <w:rsid w:val="00F965D7"/>
    <w:rsid w:val="00F9675A"/>
    <w:rsid w:val="00F96866"/>
    <w:rsid w:val="00F968BF"/>
    <w:rsid w:val="00F96B83"/>
    <w:rsid w:val="00FA0670"/>
    <w:rsid w:val="00FA18B1"/>
    <w:rsid w:val="00FA720E"/>
    <w:rsid w:val="00FB04CC"/>
    <w:rsid w:val="00FB1129"/>
    <w:rsid w:val="00FB1BE0"/>
    <w:rsid w:val="00FB21BD"/>
    <w:rsid w:val="00FB68C4"/>
    <w:rsid w:val="00FC20A2"/>
    <w:rsid w:val="00FC2124"/>
    <w:rsid w:val="00FC2240"/>
    <w:rsid w:val="00FC2AE6"/>
    <w:rsid w:val="00FC3CBA"/>
    <w:rsid w:val="00FC5D96"/>
    <w:rsid w:val="00FC61AB"/>
    <w:rsid w:val="00FC6D3D"/>
    <w:rsid w:val="00FC7EF7"/>
    <w:rsid w:val="00FD1ECA"/>
    <w:rsid w:val="00FD2209"/>
    <w:rsid w:val="00FD278C"/>
    <w:rsid w:val="00FD3E1A"/>
    <w:rsid w:val="00FD5067"/>
    <w:rsid w:val="00FD58AB"/>
    <w:rsid w:val="00FE17DC"/>
    <w:rsid w:val="00FE2B42"/>
    <w:rsid w:val="00FE2D05"/>
    <w:rsid w:val="00FE3393"/>
    <w:rsid w:val="00FE3681"/>
    <w:rsid w:val="00FE3CBD"/>
    <w:rsid w:val="00FE4112"/>
    <w:rsid w:val="00FE4968"/>
    <w:rsid w:val="00FE6A2C"/>
    <w:rsid w:val="00FE703B"/>
    <w:rsid w:val="00FE76F6"/>
    <w:rsid w:val="00FF05F4"/>
    <w:rsid w:val="00FF16F5"/>
    <w:rsid w:val="00FF269E"/>
    <w:rsid w:val="00FF4B21"/>
    <w:rsid w:val="00FF4BED"/>
    <w:rsid w:val="01D51688"/>
    <w:rsid w:val="02186A33"/>
    <w:rsid w:val="023F0C56"/>
    <w:rsid w:val="02460D9D"/>
    <w:rsid w:val="02FD194E"/>
    <w:rsid w:val="036D00AF"/>
    <w:rsid w:val="03A364A0"/>
    <w:rsid w:val="03D02352"/>
    <w:rsid w:val="03F321D0"/>
    <w:rsid w:val="040E107F"/>
    <w:rsid w:val="048C0506"/>
    <w:rsid w:val="053C7797"/>
    <w:rsid w:val="055B4057"/>
    <w:rsid w:val="05A473F7"/>
    <w:rsid w:val="05AB7BBE"/>
    <w:rsid w:val="05E8469A"/>
    <w:rsid w:val="05F257ED"/>
    <w:rsid w:val="06274484"/>
    <w:rsid w:val="06534331"/>
    <w:rsid w:val="06A344E9"/>
    <w:rsid w:val="06D13D3E"/>
    <w:rsid w:val="076E7A1B"/>
    <w:rsid w:val="08031F33"/>
    <w:rsid w:val="08502970"/>
    <w:rsid w:val="0871237C"/>
    <w:rsid w:val="08F0070A"/>
    <w:rsid w:val="090109D5"/>
    <w:rsid w:val="09BB3687"/>
    <w:rsid w:val="09C25210"/>
    <w:rsid w:val="09D732C0"/>
    <w:rsid w:val="09DB4F16"/>
    <w:rsid w:val="0AAE43D8"/>
    <w:rsid w:val="0AB207CE"/>
    <w:rsid w:val="0AB63FAC"/>
    <w:rsid w:val="0B7078E0"/>
    <w:rsid w:val="0BEE6657"/>
    <w:rsid w:val="0C12615F"/>
    <w:rsid w:val="0CA43CE5"/>
    <w:rsid w:val="0CD93263"/>
    <w:rsid w:val="0D0A78C0"/>
    <w:rsid w:val="0E4A266A"/>
    <w:rsid w:val="0E8B67DF"/>
    <w:rsid w:val="0EAD5F19"/>
    <w:rsid w:val="0EB63B39"/>
    <w:rsid w:val="0F124148"/>
    <w:rsid w:val="0FF65292"/>
    <w:rsid w:val="10F35EF0"/>
    <w:rsid w:val="11941C16"/>
    <w:rsid w:val="11CB4341"/>
    <w:rsid w:val="11D874E8"/>
    <w:rsid w:val="11DB4A78"/>
    <w:rsid w:val="120E39AF"/>
    <w:rsid w:val="121B726C"/>
    <w:rsid w:val="12651052"/>
    <w:rsid w:val="129D0E16"/>
    <w:rsid w:val="12ED28F0"/>
    <w:rsid w:val="12F55AFF"/>
    <w:rsid w:val="13AA7707"/>
    <w:rsid w:val="14264FE0"/>
    <w:rsid w:val="14476549"/>
    <w:rsid w:val="148C60C3"/>
    <w:rsid w:val="14F75DAE"/>
    <w:rsid w:val="150A2A43"/>
    <w:rsid w:val="15A27117"/>
    <w:rsid w:val="1636067D"/>
    <w:rsid w:val="169D213C"/>
    <w:rsid w:val="16E65C07"/>
    <w:rsid w:val="17840CDA"/>
    <w:rsid w:val="186621B3"/>
    <w:rsid w:val="188F4E27"/>
    <w:rsid w:val="18B82AC3"/>
    <w:rsid w:val="1A4C1518"/>
    <w:rsid w:val="1B0576C1"/>
    <w:rsid w:val="1B0B3181"/>
    <w:rsid w:val="1B785521"/>
    <w:rsid w:val="1B7E1BA5"/>
    <w:rsid w:val="1C3838A4"/>
    <w:rsid w:val="1C73354C"/>
    <w:rsid w:val="1CB937AA"/>
    <w:rsid w:val="1CCF30BC"/>
    <w:rsid w:val="1D1A7BEF"/>
    <w:rsid w:val="1D692C8F"/>
    <w:rsid w:val="1D927B8A"/>
    <w:rsid w:val="1DAA6C81"/>
    <w:rsid w:val="1E472722"/>
    <w:rsid w:val="1F211765"/>
    <w:rsid w:val="1F890B18"/>
    <w:rsid w:val="1FF67A97"/>
    <w:rsid w:val="2038523E"/>
    <w:rsid w:val="20745325"/>
    <w:rsid w:val="20D81D57"/>
    <w:rsid w:val="20EA738C"/>
    <w:rsid w:val="20FF72E4"/>
    <w:rsid w:val="21A8797C"/>
    <w:rsid w:val="21AF0D0A"/>
    <w:rsid w:val="21BB27A9"/>
    <w:rsid w:val="223236E9"/>
    <w:rsid w:val="22F81E30"/>
    <w:rsid w:val="240A1FBA"/>
    <w:rsid w:val="24A81A41"/>
    <w:rsid w:val="24E55104"/>
    <w:rsid w:val="25385206"/>
    <w:rsid w:val="256B70D2"/>
    <w:rsid w:val="259D5863"/>
    <w:rsid w:val="26261433"/>
    <w:rsid w:val="2652402E"/>
    <w:rsid w:val="26552372"/>
    <w:rsid w:val="26893B81"/>
    <w:rsid w:val="268F4B4E"/>
    <w:rsid w:val="292813A2"/>
    <w:rsid w:val="29A9605C"/>
    <w:rsid w:val="29B449E4"/>
    <w:rsid w:val="2AF93390"/>
    <w:rsid w:val="2B0F281A"/>
    <w:rsid w:val="2CED4B8B"/>
    <w:rsid w:val="2D8148BF"/>
    <w:rsid w:val="2DF43FF6"/>
    <w:rsid w:val="2DFB2035"/>
    <w:rsid w:val="2E864BA1"/>
    <w:rsid w:val="2EE00777"/>
    <w:rsid w:val="2F083808"/>
    <w:rsid w:val="2F1D27DA"/>
    <w:rsid w:val="2F2B5748"/>
    <w:rsid w:val="2F386C07"/>
    <w:rsid w:val="2F4106A4"/>
    <w:rsid w:val="3080040E"/>
    <w:rsid w:val="30B9566D"/>
    <w:rsid w:val="30CD5B0A"/>
    <w:rsid w:val="312975EC"/>
    <w:rsid w:val="31756AD8"/>
    <w:rsid w:val="318B6E9A"/>
    <w:rsid w:val="31F84007"/>
    <w:rsid w:val="328E671A"/>
    <w:rsid w:val="33874724"/>
    <w:rsid w:val="33A51ABE"/>
    <w:rsid w:val="33C83183"/>
    <w:rsid w:val="34110FF9"/>
    <w:rsid w:val="341458D1"/>
    <w:rsid w:val="346A6D13"/>
    <w:rsid w:val="34DB3D31"/>
    <w:rsid w:val="35610116"/>
    <w:rsid w:val="35B12CA3"/>
    <w:rsid w:val="35E51FBD"/>
    <w:rsid w:val="35F44AE6"/>
    <w:rsid w:val="36A003AE"/>
    <w:rsid w:val="36A22794"/>
    <w:rsid w:val="37777602"/>
    <w:rsid w:val="37A001B8"/>
    <w:rsid w:val="37C66045"/>
    <w:rsid w:val="37CB5D1A"/>
    <w:rsid w:val="3846699B"/>
    <w:rsid w:val="385A029D"/>
    <w:rsid w:val="3864534B"/>
    <w:rsid w:val="387E5E4A"/>
    <w:rsid w:val="388303A3"/>
    <w:rsid w:val="38DF754C"/>
    <w:rsid w:val="39523E4A"/>
    <w:rsid w:val="39A44A75"/>
    <w:rsid w:val="3A145456"/>
    <w:rsid w:val="3A1D3B67"/>
    <w:rsid w:val="3B4262F3"/>
    <w:rsid w:val="3BB85B07"/>
    <w:rsid w:val="3BB95471"/>
    <w:rsid w:val="3C392EC7"/>
    <w:rsid w:val="3C746980"/>
    <w:rsid w:val="3CDE3DFA"/>
    <w:rsid w:val="3CF81D16"/>
    <w:rsid w:val="3D732773"/>
    <w:rsid w:val="3EAF2B55"/>
    <w:rsid w:val="3EF32441"/>
    <w:rsid w:val="40020FC6"/>
    <w:rsid w:val="40057639"/>
    <w:rsid w:val="401828DD"/>
    <w:rsid w:val="40D0614F"/>
    <w:rsid w:val="40F0421B"/>
    <w:rsid w:val="412C1092"/>
    <w:rsid w:val="41A213BA"/>
    <w:rsid w:val="41BA1A90"/>
    <w:rsid w:val="41F270B9"/>
    <w:rsid w:val="42092064"/>
    <w:rsid w:val="429A4C67"/>
    <w:rsid w:val="42DC297D"/>
    <w:rsid w:val="430574EE"/>
    <w:rsid w:val="43430AE7"/>
    <w:rsid w:val="435C016E"/>
    <w:rsid w:val="43BD0082"/>
    <w:rsid w:val="44DF5CE6"/>
    <w:rsid w:val="45566A25"/>
    <w:rsid w:val="45892025"/>
    <w:rsid w:val="45D24718"/>
    <w:rsid w:val="45DB537A"/>
    <w:rsid w:val="46190610"/>
    <w:rsid w:val="46BB58E0"/>
    <w:rsid w:val="472F2356"/>
    <w:rsid w:val="474E0ED6"/>
    <w:rsid w:val="47FD752B"/>
    <w:rsid w:val="481203CA"/>
    <w:rsid w:val="48B224D2"/>
    <w:rsid w:val="48BB0BE3"/>
    <w:rsid w:val="492139EC"/>
    <w:rsid w:val="4923130D"/>
    <w:rsid w:val="496A7C70"/>
    <w:rsid w:val="49764E39"/>
    <w:rsid w:val="4A207F8B"/>
    <w:rsid w:val="4A7A78BF"/>
    <w:rsid w:val="4AE44CD1"/>
    <w:rsid w:val="4B315A3D"/>
    <w:rsid w:val="4BE160E5"/>
    <w:rsid w:val="4C73547C"/>
    <w:rsid w:val="4C87625C"/>
    <w:rsid w:val="4D0C7479"/>
    <w:rsid w:val="4D3A61F4"/>
    <w:rsid w:val="4DDD1475"/>
    <w:rsid w:val="4E514A0D"/>
    <w:rsid w:val="4ED43961"/>
    <w:rsid w:val="4F0A4A67"/>
    <w:rsid w:val="4F8922EB"/>
    <w:rsid w:val="4FEE046F"/>
    <w:rsid w:val="509528CC"/>
    <w:rsid w:val="50B05655"/>
    <w:rsid w:val="5103622D"/>
    <w:rsid w:val="512D07C1"/>
    <w:rsid w:val="51A45CFD"/>
    <w:rsid w:val="51BE0519"/>
    <w:rsid w:val="51C4585C"/>
    <w:rsid w:val="52316EAA"/>
    <w:rsid w:val="5240491E"/>
    <w:rsid w:val="5248023B"/>
    <w:rsid w:val="526B5CD8"/>
    <w:rsid w:val="52803148"/>
    <w:rsid w:val="52D2096E"/>
    <w:rsid w:val="53C47A6E"/>
    <w:rsid w:val="54674A25"/>
    <w:rsid w:val="54703A7A"/>
    <w:rsid w:val="55A477CA"/>
    <w:rsid w:val="568A1997"/>
    <w:rsid w:val="57B974E6"/>
    <w:rsid w:val="584E5E80"/>
    <w:rsid w:val="586C6306"/>
    <w:rsid w:val="58AC1A08"/>
    <w:rsid w:val="58E453E6"/>
    <w:rsid w:val="5AC32754"/>
    <w:rsid w:val="5B7C590F"/>
    <w:rsid w:val="5BC326E1"/>
    <w:rsid w:val="5C0E6052"/>
    <w:rsid w:val="5C0F3B78"/>
    <w:rsid w:val="5C2F3D6A"/>
    <w:rsid w:val="5CAD580F"/>
    <w:rsid w:val="5D1217F1"/>
    <w:rsid w:val="5D1E0F52"/>
    <w:rsid w:val="5D2B6790"/>
    <w:rsid w:val="5D465377"/>
    <w:rsid w:val="5DD01BA3"/>
    <w:rsid w:val="5E17330B"/>
    <w:rsid w:val="5EEF487C"/>
    <w:rsid w:val="5F205220"/>
    <w:rsid w:val="5F9B12E6"/>
    <w:rsid w:val="604E2BAD"/>
    <w:rsid w:val="60CC028A"/>
    <w:rsid w:val="623600B0"/>
    <w:rsid w:val="626C7CB0"/>
    <w:rsid w:val="63E1229E"/>
    <w:rsid w:val="64CC53EB"/>
    <w:rsid w:val="64E23328"/>
    <w:rsid w:val="64EF0F7A"/>
    <w:rsid w:val="650D228E"/>
    <w:rsid w:val="656B54C6"/>
    <w:rsid w:val="658A3A9C"/>
    <w:rsid w:val="660B715E"/>
    <w:rsid w:val="66441755"/>
    <w:rsid w:val="666E002B"/>
    <w:rsid w:val="67FD6528"/>
    <w:rsid w:val="6850354E"/>
    <w:rsid w:val="6858593D"/>
    <w:rsid w:val="68DC4DE2"/>
    <w:rsid w:val="6A364ECE"/>
    <w:rsid w:val="6A723C50"/>
    <w:rsid w:val="6AC7223E"/>
    <w:rsid w:val="6AFE46AB"/>
    <w:rsid w:val="6C0703C8"/>
    <w:rsid w:val="6CD247B4"/>
    <w:rsid w:val="6DAA6A60"/>
    <w:rsid w:val="6DE92D60"/>
    <w:rsid w:val="6DFD089B"/>
    <w:rsid w:val="6E096620"/>
    <w:rsid w:val="6E32225B"/>
    <w:rsid w:val="6E65780A"/>
    <w:rsid w:val="6EFE2A1E"/>
    <w:rsid w:val="6F6822D7"/>
    <w:rsid w:val="70384FF4"/>
    <w:rsid w:val="70505B3A"/>
    <w:rsid w:val="70622071"/>
    <w:rsid w:val="719E3CC0"/>
    <w:rsid w:val="720B77DF"/>
    <w:rsid w:val="72501D1B"/>
    <w:rsid w:val="73370B39"/>
    <w:rsid w:val="738F7621"/>
    <w:rsid w:val="73F310C6"/>
    <w:rsid w:val="7492468E"/>
    <w:rsid w:val="75660FA8"/>
    <w:rsid w:val="76077EE0"/>
    <w:rsid w:val="77846CF0"/>
    <w:rsid w:val="779B3C7E"/>
    <w:rsid w:val="781520BE"/>
    <w:rsid w:val="781E6FB1"/>
    <w:rsid w:val="78B02BA4"/>
    <w:rsid w:val="7948723E"/>
    <w:rsid w:val="79E166FC"/>
    <w:rsid w:val="7DB3215D"/>
    <w:rsid w:val="7DE467BB"/>
    <w:rsid w:val="7E29414E"/>
    <w:rsid w:val="7F0A3FFF"/>
    <w:rsid w:val="7FEF7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paragraph" w:styleId="2">
    <w:name w:val="heading 1"/>
    <w:basedOn w:val="1"/>
    <w:next w:val="1"/>
    <w:qFormat/>
    <w:uiPriority w:val="0"/>
    <w:pPr>
      <w:keepNext/>
      <w:jc w:val="center"/>
      <w:outlineLvl w:val="0"/>
    </w:pPr>
    <w:rPr>
      <w:rFonts w:eastAsia="宋体" w:cs="Times New Roman"/>
      <w:sz w:val="28"/>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6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7">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cs="Times New Roman"/>
      <w:b/>
      <w:bCs/>
      <w:sz w:val="24"/>
      <w:szCs w:val="24"/>
    </w:rPr>
  </w:style>
  <w:style w:type="paragraph" w:styleId="8">
    <w:name w:val="heading 7"/>
    <w:basedOn w:val="1"/>
    <w:next w:val="1"/>
    <w:qFormat/>
    <w:uiPriority w:val="0"/>
    <w:pPr>
      <w:keepNext/>
      <w:keepLines/>
      <w:tabs>
        <w:tab w:val="left" w:pos="1296"/>
      </w:tabs>
      <w:spacing w:before="240" w:after="64" w:line="320" w:lineRule="auto"/>
      <w:ind w:left="1296" w:hanging="1296"/>
      <w:outlineLvl w:val="6"/>
    </w:pPr>
    <w:rPr>
      <w:rFonts w:eastAsia="宋体" w:cs="Times New Roman"/>
      <w:b/>
      <w:bCs/>
      <w:sz w:val="24"/>
      <w:szCs w:val="24"/>
    </w:rPr>
  </w:style>
  <w:style w:type="paragraph" w:styleId="9">
    <w:name w:val="heading 8"/>
    <w:basedOn w:val="1"/>
    <w:next w:val="1"/>
    <w:qFormat/>
    <w:uiPriority w:val="0"/>
    <w:pPr>
      <w:keepNext/>
      <w:keepLines/>
      <w:tabs>
        <w:tab w:val="left" w:pos="1440"/>
      </w:tabs>
      <w:spacing w:before="240" w:after="64" w:line="320" w:lineRule="auto"/>
      <w:ind w:left="1440" w:hanging="1440"/>
      <w:outlineLvl w:val="7"/>
    </w:pPr>
    <w:rPr>
      <w:rFonts w:ascii="Arial" w:hAnsi="Arial" w:eastAsia="黑体" w:cs="Times New Roman"/>
      <w:sz w:val="24"/>
      <w:szCs w:val="24"/>
    </w:rPr>
  </w:style>
  <w:style w:type="paragraph" w:styleId="10">
    <w:name w:val="heading 9"/>
    <w:basedOn w:val="1"/>
    <w:next w:val="1"/>
    <w:qFormat/>
    <w:uiPriority w:val="0"/>
    <w:pPr>
      <w:keepNext/>
      <w:keepLines/>
      <w:tabs>
        <w:tab w:val="left" w:pos="1584"/>
      </w:tabs>
      <w:spacing w:before="240" w:after="64" w:line="320" w:lineRule="auto"/>
      <w:ind w:left="1584" w:hanging="1584"/>
      <w:outlineLvl w:val="8"/>
    </w:pPr>
    <w:rPr>
      <w:rFonts w:ascii="Arial" w:hAnsi="Arial" w:eastAsia="黑体" w:cs="Times New Roma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0"/>
    <w:pPr>
      <w:ind w:left="1260"/>
      <w:jc w:val="left"/>
    </w:pPr>
    <w:rPr>
      <w:rFonts w:cs="Times New Roman"/>
      <w:sz w:val="18"/>
      <w:szCs w:val="18"/>
    </w:rPr>
  </w:style>
  <w:style w:type="paragraph" w:styleId="12">
    <w:name w:val="Normal Indent"/>
    <w:basedOn w:val="1"/>
    <w:link w:val="62"/>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3">
    <w:name w:val="caption"/>
    <w:basedOn w:val="1"/>
    <w:next w:val="1"/>
    <w:link w:val="63"/>
    <w:qFormat/>
    <w:uiPriority w:val="0"/>
    <w:rPr>
      <w:rFonts w:ascii="Arial" w:hAnsi="Arial" w:eastAsia="黑体" w:cs="Times New Roman"/>
      <w:sz w:val="20"/>
      <w:szCs w:val="20"/>
    </w:rPr>
  </w:style>
  <w:style w:type="paragraph" w:styleId="14">
    <w:name w:val="Document Map"/>
    <w:basedOn w:val="1"/>
    <w:link w:val="64"/>
    <w:semiHidden/>
    <w:qFormat/>
    <w:uiPriority w:val="0"/>
    <w:pPr>
      <w:shd w:val="clear" w:color="auto" w:fill="000080"/>
    </w:pPr>
    <w:rPr>
      <w:rFonts w:cs="Times New Roman"/>
    </w:rPr>
  </w:style>
  <w:style w:type="paragraph" w:styleId="15">
    <w:name w:val="annotation text"/>
    <w:basedOn w:val="1"/>
    <w:link w:val="65"/>
    <w:qFormat/>
    <w:uiPriority w:val="0"/>
    <w:pPr>
      <w:jc w:val="left"/>
    </w:pPr>
    <w:rPr>
      <w:rFonts w:ascii="宋体" w:hAnsi="宋体" w:eastAsia="宋体" w:cs="Times New Roman"/>
      <w:color w:val="FF0000"/>
      <w:kern w:val="0"/>
      <w:szCs w:val="24"/>
    </w:rPr>
  </w:style>
  <w:style w:type="paragraph" w:styleId="16">
    <w:name w:val="Body Text 3"/>
    <w:basedOn w:val="1"/>
    <w:qFormat/>
    <w:uiPriority w:val="0"/>
    <w:rPr>
      <w:rFonts w:eastAsia="宋体" w:cs="Times New Roman"/>
      <w:sz w:val="18"/>
      <w:szCs w:val="20"/>
    </w:rPr>
  </w:style>
  <w:style w:type="paragraph" w:styleId="17">
    <w:name w:val="Body Text"/>
    <w:basedOn w:val="1"/>
    <w:next w:val="1"/>
    <w:link w:val="66"/>
    <w:qFormat/>
    <w:uiPriority w:val="0"/>
    <w:pPr>
      <w:spacing w:line="348" w:lineRule="auto"/>
    </w:pPr>
    <w:rPr>
      <w:rFonts w:eastAsia="宋体" w:cs="Times New Roman"/>
      <w:sz w:val="18"/>
      <w:szCs w:val="20"/>
    </w:rPr>
  </w:style>
  <w:style w:type="paragraph" w:styleId="18">
    <w:name w:val="Body Text Indent"/>
    <w:basedOn w:val="1"/>
    <w:link w:val="67"/>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semiHidden/>
    <w:qFormat/>
    <w:uiPriority w:val="0"/>
    <w:pPr>
      <w:ind w:left="840"/>
      <w:jc w:val="left"/>
    </w:pPr>
    <w:rPr>
      <w:rFonts w:cs="Times New Roman"/>
      <w:sz w:val="18"/>
      <w:szCs w:val="18"/>
    </w:rPr>
  </w:style>
  <w:style w:type="paragraph" w:styleId="21">
    <w:name w:val="toc 3"/>
    <w:basedOn w:val="1"/>
    <w:next w:val="1"/>
    <w:qFormat/>
    <w:uiPriority w:val="39"/>
    <w:pPr>
      <w:ind w:left="420"/>
      <w:jc w:val="left"/>
    </w:pPr>
    <w:rPr>
      <w:rFonts w:cs="Times New Roman"/>
      <w:i/>
      <w:iCs/>
      <w:sz w:val="20"/>
      <w:szCs w:val="20"/>
    </w:rPr>
  </w:style>
  <w:style w:type="paragraph" w:styleId="22">
    <w:name w:val="Plain Text"/>
    <w:basedOn w:val="1"/>
    <w:link w:val="68"/>
    <w:qFormat/>
    <w:uiPriority w:val="0"/>
    <w:rPr>
      <w:rFonts w:ascii="宋体" w:hAnsi="Courier New" w:eastAsia="宋体" w:cs="Times New Roman"/>
      <w:szCs w:val="20"/>
    </w:rPr>
  </w:style>
  <w:style w:type="paragraph" w:styleId="23">
    <w:name w:val="toc 8"/>
    <w:basedOn w:val="1"/>
    <w:next w:val="1"/>
    <w:semiHidden/>
    <w:qFormat/>
    <w:uiPriority w:val="0"/>
    <w:pPr>
      <w:ind w:left="1470"/>
      <w:jc w:val="left"/>
    </w:pPr>
    <w:rPr>
      <w:rFonts w:cs="Times New Roman"/>
      <w:sz w:val="18"/>
      <w:szCs w:val="18"/>
    </w:rPr>
  </w:style>
  <w:style w:type="paragraph" w:styleId="24">
    <w:name w:val="Date"/>
    <w:basedOn w:val="1"/>
    <w:next w:val="1"/>
    <w:qFormat/>
    <w:uiPriority w:val="0"/>
    <w:pPr>
      <w:ind w:left="1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26">
    <w:name w:val="endnote text"/>
    <w:basedOn w:val="1"/>
    <w:link w:val="69"/>
    <w:qFormat/>
    <w:uiPriority w:val="0"/>
    <w:pPr>
      <w:snapToGrid w:val="0"/>
      <w:jc w:val="left"/>
    </w:pPr>
    <w:rPr>
      <w:rFonts w:ascii="Calibri" w:hAnsi="Calibri" w:eastAsia="宋体" w:cs="Arial"/>
      <w:szCs w:val="20"/>
    </w:rPr>
  </w:style>
  <w:style w:type="paragraph" w:styleId="27">
    <w:name w:val="Balloon Text"/>
    <w:basedOn w:val="1"/>
    <w:link w:val="70"/>
    <w:semiHidden/>
    <w:qFormat/>
    <w:uiPriority w:val="99"/>
    <w:rPr>
      <w:rFonts w:eastAsia="宋体" w:cs="Times New Roman"/>
      <w:sz w:val="18"/>
      <w:szCs w:val="18"/>
    </w:rPr>
  </w:style>
  <w:style w:type="paragraph" w:styleId="28">
    <w:name w:val="footer"/>
    <w:basedOn w:val="1"/>
    <w:link w:val="71"/>
    <w:qFormat/>
    <w:uiPriority w:val="99"/>
    <w:pPr>
      <w:tabs>
        <w:tab w:val="center" w:pos="4153"/>
        <w:tab w:val="right" w:pos="8306"/>
      </w:tabs>
      <w:snapToGrid w:val="0"/>
      <w:jc w:val="left"/>
    </w:pPr>
    <w:rPr>
      <w:sz w:val="18"/>
      <w:szCs w:val="18"/>
    </w:rPr>
  </w:style>
  <w:style w:type="paragraph" w:styleId="29">
    <w:name w:val="header"/>
    <w:basedOn w:val="1"/>
    <w:link w:val="72"/>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120" w:after="120"/>
      <w:jc w:val="left"/>
    </w:pPr>
    <w:rPr>
      <w:rFonts w:cs="Times New Roman"/>
      <w:b/>
      <w:bCs/>
      <w:caps/>
      <w:sz w:val="20"/>
      <w:szCs w:val="20"/>
    </w:rPr>
  </w:style>
  <w:style w:type="paragraph" w:styleId="31">
    <w:name w:val="toc 4"/>
    <w:basedOn w:val="1"/>
    <w:next w:val="1"/>
    <w:semiHidden/>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semiHidden/>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555" w:firstLineChars="200"/>
    </w:pPr>
    <w:rPr>
      <w:rFonts w:ascii="宋体" w:hAnsi="宋体" w:eastAsia="宋体" w:cs="Times New Roman"/>
      <w:sz w:val="28"/>
      <w:szCs w:val="20"/>
    </w:rPr>
  </w:style>
  <w:style w:type="paragraph" w:styleId="35">
    <w:name w:val="table of figures"/>
    <w:basedOn w:val="1"/>
    <w:next w:val="1"/>
    <w:semiHidden/>
    <w:qFormat/>
    <w:uiPriority w:val="0"/>
    <w:pPr>
      <w:ind w:left="200" w:leftChars="200" w:hanging="200" w:hangingChars="200"/>
    </w:pPr>
    <w:rPr>
      <w:rFonts w:eastAsia="宋体" w:cs="Times New Roman"/>
      <w:szCs w:val="24"/>
    </w:rPr>
  </w:style>
  <w:style w:type="paragraph" w:styleId="36">
    <w:name w:val="toc 2"/>
    <w:basedOn w:val="1"/>
    <w:next w:val="1"/>
    <w:qFormat/>
    <w:uiPriority w:val="39"/>
    <w:pPr>
      <w:ind w:left="210"/>
      <w:jc w:val="left"/>
    </w:pPr>
    <w:rPr>
      <w:rFonts w:cs="Times New Roman"/>
      <w:smallCaps/>
      <w:sz w:val="20"/>
      <w:szCs w:val="20"/>
    </w:rPr>
  </w:style>
  <w:style w:type="paragraph" w:styleId="37">
    <w:name w:val="toc 9"/>
    <w:basedOn w:val="1"/>
    <w:next w:val="1"/>
    <w:semiHidden/>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semiHidden/>
    <w:qFormat/>
    <w:uiPriority w:val="0"/>
    <w:pPr>
      <w:ind w:left="200" w:leftChars="200"/>
    </w:pPr>
    <w:rPr>
      <w:rFonts w:eastAsia="宋体" w:cs="Times New Roman"/>
      <w:szCs w:val="24"/>
    </w:rPr>
  </w:style>
  <w:style w:type="paragraph" w:styleId="43">
    <w:name w:val="Title"/>
    <w:basedOn w:val="1"/>
    <w:link w:val="73"/>
    <w:qFormat/>
    <w:uiPriority w:val="0"/>
    <w:pPr>
      <w:jc w:val="center"/>
    </w:pPr>
    <w:rPr>
      <w:rFonts w:eastAsia="宋体" w:cs="Times New Roman"/>
      <w:sz w:val="32"/>
      <w:szCs w:val="20"/>
    </w:rPr>
  </w:style>
  <w:style w:type="paragraph" w:styleId="44">
    <w:name w:val="annotation subject"/>
    <w:basedOn w:val="15"/>
    <w:next w:val="15"/>
    <w:semiHidden/>
    <w:qFormat/>
    <w:uiPriority w:val="0"/>
    <w:rPr>
      <w:b/>
      <w:bCs/>
    </w:rPr>
  </w:style>
  <w:style w:type="paragraph" w:styleId="45">
    <w:name w:val="Body Text First Indent"/>
    <w:basedOn w:val="17"/>
    <w:qFormat/>
    <w:uiPriority w:val="0"/>
    <w:pPr>
      <w:spacing w:after="120" w:line="240" w:lineRule="auto"/>
      <w:ind w:firstLine="420" w:firstLineChars="100"/>
    </w:pPr>
    <w:rPr>
      <w:sz w:val="21"/>
      <w:szCs w:val="24"/>
    </w:rPr>
  </w:style>
  <w:style w:type="paragraph" w:styleId="46">
    <w:name w:val="Body Text First Indent 2"/>
    <w:basedOn w:val="18"/>
    <w:unhideWhenUsed/>
    <w:qFormat/>
    <w:uiPriority w:val="99"/>
    <w:pPr>
      <w:tabs>
        <w:tab w:val="left" w:pos="1110"/>
        <w:tab w:val="clear" w:pos="1440"/>
      </w:tabs>
      <w:spacing w:after="120"/>
      <w:ind w:left="360" w:firstLine="210"/>
    </w:p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qFormat/>
    <w:uiPriority w:val="0"/>
    <w:rPr>
      <w:b/>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line number"/>
    <w:qFormat/>
    <w:uiPriority w:val="0"/>
  </w:style>
  <w:style w:type="character" w:styleId="54">
    <w:name w:val="Hyperlink"/>
    <w:qFormat/>
    <w:uiPriority w:val="99"/>
    <w:rPr>
      <w:color w:val="0000FF"/>
      <w:u w:val="single"/>
    </w:rPr>
  </w:style>
  <w:style w:type="character" w:styleId="55">
    <w:name w:val="annotation reference"/>
    <w:unhideWhenUsed/>
    <w:qFormat/>
    <w:uiPriority w:val="0"/>
    <w:rPr>
      <w:sz w:val="21"/>
      <w:szCs w:val="21"/>
    </w:rPr>
  </w:style>
  <w:style w:type="character" w:customStyle="1" w:styleId="56">
    <w:name w:val="标题 2 Char"/>
    <w:qFormat/>
    <w:uiPriority w:val="0"/>
    <w:rPr>
      <w:rFonts w:ascii="Cambria" w:hAnsi="Cambria" w:eastAsia="宋体" w:cs="Times New Roman"/>
      <w:b/>
      <w:bCs/>
      <w:sz w:val="32"/>
      <w:szCs w:val="32"/>
    </w:rPr>
  </w:style>
  <w:style w:type="paragraph" w:customStyle="1" w:styleId="57">
    <w:name w:val="Default"/>
    <w:unhideWhenUsed/>
    <w:qFormat/>
    <w:uiPriority w:val="99"/>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58">
    <w:name w:val="标题 5（有编号）（绿盟科技）"/>
    <w:basedOn w:val="1"/>
    <w:next w:val="59"/>
    <w:qFormat/>
    <w:uiPriority w:val="0"/>
    <w:pPr>
      <w:keepNext/>
      <w:keepLines/>
      <w:numPr>
        <w:ilvl w:val="4"/>
        <w:numId w:val="3"/>
      </w:numPr>
      <w:spacing w:before="280" w:after="156" w:line="377" w:lineRule="auto"/>
      <w:jc w:val="left"/>
      <w:outlineLvl w:val="4"/>
    </w:pPr>
    <w:rPr>
      <w:rFonts w:ascii="Arial" w:hAnsi="Arial" w:eastAsia="黑体"/>
      <w:b/>
      <w:szCs w:val="28"/>
    </w:rPr>
  </w:style>
  <w:style w:type="paragraph" w:customStyle="1" w:styleId="5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0">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61">
    <w:name w:val="标题 3 Char"/>
    <w:link w:val="4"/>
    <w:qFormat/>
    <w:uiPriority w:val="0"/>
    <w:rPr>
      <w:rFonts w:eastAsia="MS Gothic" w:cs="MS Gothic"/>
      <w:b/>
      <w:bCs/>
      <w:kern w:val="2"/>
      <w:sz w:val="32"/>
      <w:szCs w:val="32"/>
    </w:rPr>
  </w:style>
  <w:style w:type="character" w:customStyle="1" w:styleId="62">
    <w:name w:val="正文缩进 Char"/>
    <w:link w:val="12"/>
    <w:qFormat/>
    <w:uiPriority w:val="0"/>
    <w:rPr>
      <w:rFonts w:eastAsia="仿宋体"/>
      <w:sz w:val="28"/>
    </w:rPr>
  </w:style>
  <w:style w:type="character" w:customStyle="1" w:styleId="63">
    <w:name w:val="题注 Char"/>
    <w:link w:val="13"/>
    <w:qFormat/>
    <w:uiPriority w:val="0"/>
    <w:rPr>
      <w:rFonts w:ascii="Arial" w:hAnsi="Arial" w:eastAsia="黑体"/>
      <w:kern w:val="2"/>
    </w:rPr>
  </w:style>
  <w:style w:type="character" w:customStyle="1" w:styleId="64">
    <w:name w:val="文档结构图 Char"/>
    <w:link w:val="14"/>
    <w:semiHidden/>
    <w:qFormat/>
    <w:uiPriority w:val="0"/>
    <w:rPr>
      <w:rFonts w:eastAsia="MS Gothic" w:cs="MS Gothic"/>
      <w:kern w:val="2"/>
      <w:sz w:val="21"/>
      <w:szCs w:val="21"/>
      <w:shd w:val="clear" w:color="auto" w:fill="000080"/>
    </w:rPr>
  </w:style>
  <w:style w:type="character" w:customStyle="1" w:styleId="65">
    <w:name w:val="批注文字 Char"/>
    <w:link w:val="15"/>
    <w:qFormat/>
    <w:uiPriority w:val="0"/>
    <w:rPr>
      <w:rFonts w:ascii="宋体" w:hAnsi="宋体" w:cs="宋体"/>
      <w:color w:val="FF0000"/>
      <w:sz w:val="21"/>
      <w:szCs w:val="24"/>
    </w:rPr>
  </w:style>
  <w:style w:type="character" w:customStyle="1" w:styleId="66">
    <w:name w:val="正文文本 Char"/>
    <w:link w:val="17"/>
    <w:qFormat/>
    <w:uiPriority w:val="0"/>
    <w:rPr>
      <w:rFonts w:eastAsia="宋体"/>
      <w:kern w:val="2"/>
      <w:sz w:val="18"/>
      <w:lang w:val="en-US" w:eastAsia="zh-CN" w:bidi="ar-SA"/>
    </w:rPr>
  </w:style>
  <w:style w:type="character" w:customStyle="1" w:styleId="67">
    <w:name w:val="正文文本缩进 Char"/>
    <w:link w:val="18"/>
    <w:qFormat/>
    <w:uiPriority w:val="0"/>
    <w:rPr>
      <w:rFonts w:ascii="宋体"/>
      <w:color w:val="000000"/>
      <w:sz w:val="28"/>
    </w:rPr>
  </w:style>
  <w:style w:type="character" w:customStyle="1" w:styleId="68">
    <w:name w:val="纯文本 Char"/>
    <w:link w:val="22"/>
    <w:qFormat/>
    <w:uiPriority w:val="0"/>
    <w:rPr>
      <w:rFonts w:ascii="宋体" w:hAnsi="Courier New" w:eastAsia="宋体"/>
      <w:kern w:val="2"/>
      <w:sz w:val="21"/>
      <w:lang w:val="en-US" w:eastAsia="zh-CN" w:bidi="ar-SA"/>
    </w:rPr>
  </w:style>
  <w:style w:type="character" w:customStyle="1" w:styleId="69">
    <w:name w:val="尾注文本 Char"/>
    <w:link w:val="26"/>
    <w:qFormat/>
    <w:uiPriority w:val="0"/>
    <w:rPr>
      <w:rFonts w:ascii="Calibri" w:hAnsi="Calibri" w:cs="Arial"/>
      <w:kern w:val="2"/>
      <w:sz w:val="21"/>
    </w:rPr>
  </w:style>
  <w:style w:type="character" w:customStyle="1" w:styleId="70">
    <w:name w:val="批注框文本 Char"/>
    <w:link w:val="27"/>
    <w:semiHidden/>
    <w:qFormat/>
    <w:uiPriority w:val="99"/>
    <w:rPr>
      <w:kern w:val="2"/>
      <w:sz w:val="18"/>
      <w:szCs w:val="18"/>
    </w:rPr>
  </w:style>
  <w:style w:type="character" w:customStyle="1" w:styleId="71">
    <w:name w:val="页脚 Char"/>
    <w:link w:val="28"/>
    <w:qFormat/>
    <w:uiPriority w:val="99"/>
    <w:rPr>
      <w:rFonts w:eastAsia="MS Gothic" w:cs="MS Gothic"/>
      <w:kern w:val="2"/>
      <w:sz w:val="18"/>
      <w:szCs w:val="18"/>
      <w:lang w:val="en-US" w:eastAsia="zh-CN" w:bidi="ar-SA"/>
    </w:rPr>
  </w:style>
  <w:style w:type="character" w:customStyle="1" w:styleId="72">
    <w:name w:val="页眉 Char"/>
    <w:link w:val="29"/>
    <w:qFormat/>
    <w:uiPriority w:val="99"/>
    <w:rPr>
      <w:rFonts w:eastAsia="MS Gothic" w:cs="MS Gothic"/>
      <w:kern w:val="2"/>
      <w:sz w:val="18"/>
      <w:szCs w:val="18"/>
      <w:lang w:val="en-US" w:eastAsia="zh-CN" w:bidi="ar-SA"/>
    </w:rPr>
  </w:style>
  <w:style w:type="character" w:customStyle="1" w:styleId="73">
    <w:name w:val="标题 Char"/>
    <w:link w:val="43"/>
    <w:qFormat/>
    <w:uiPriority w:val="0"/>
    <w:rPr>
      <w:kern w:val="2"/>
      <w:sz w:val="32"/>
    </w:rPr>
  </w:style>
  <w:style w:type="character" w:customStyle="1" w:styleId="74">
    <w:name w:val="首行缩进2 字符"/>
    <w:link w:val="75"/>
    <w:qFormat/>
    <w:uiPriority w:val="0"/>
    <w:rPr>
      <w:rFonts w:ascii="宋体" w:hAnsi="宋体"/>
      <w:kern w:val="2"/>
      <w:sz w:val="24"/>
      <w:szCs w:val="22"/>
    </w:rPr>
  </w:style>
  <w:style w:type="paragraph" w:customStyle="1" w:styleId="75">
    <w:name w:val="首行缩进2"/>
    <w:basedOn w:val="1"/>
    <w:link w:val="74"/>
    <w:qFormat/>
    <w:uiPriority w:val="0"/>
    <w:pPr>
      <w:spacing w:line="360" w:lineRule="auto"/>
      <w:ind w:firstLine="480" w:firstLineChars="200"/>
    </w:pPr>
    <w:rPr>
      <w:rFonts w:ascii="宋体" w:hAnsi="宋体" w:eastAsia="宋体" w:cs="Times New Roman"/>
      <w:sz w:val="24"/>
      <w:szCs w:val="22"/>
    </w:rPr>
  </w:style>
  <w:style w:type="character" w:customStyle="1" w:styleId="76">
    <w:name w:val="style17 style17"/>
    <w:qFormat/>
    <w:uiPriority w:val="0"/>
  </w:style>
  <w:style w:type="character" w:customStyle="1" w:styleId="77">
    <w:name w:val="列出段落 Char1"/>
    <w:qFormat/>
    <w:uiPriority w:val="34"/>
    <w:rPr>
      <w:rFonts w:ascii="Symbol" w:hAnsi="Symbol"/>
      <w:sz w:val="24"/>
    </w:rPr>
  </w:style>
  <w:style w:type="character" w:customStyle="1" w:styleId="78">
    <w:name w:val="纯文本 Char1"/>
    <w:qFormat/>
    <w:uiPriority w:val="0"/>
    <w:rPr>
      <w:rFonts w:ascii="宋体" w:hAnsi="Courier New" w:cs="Century"/>
      <w:kern w:val="2"/>
      <w:sz w:val="21"/>
      <w:szCs w:val="21"/>
    </w:rPr>
  </w:style>
  <w:style w:type="character" w:customStyle="1" w:styleId="79">
    <w:name w:val="正文文本缩进 Char1"/>
    <w:qFormat/>
    <w:uiPriority w:val="0"/>
    <w:rPr>
      <w:rFonts w:ascii="Times New Roman" w:hAnsi="Times New Roman" w:eastAsia="宋体" w:cs="Times New Roman"/>
      <w:szCs w:val="24"/>
    </w:rPr>
  </w:style>
  <w:style w:type="character" w:customStyle="1" w:styleId="80">
    <w:name w:val="style44"/>
    <w:qFormat/>
    <w:uiPriority w:val="0"/>
  </w:style>
  <w:style w:type="character" w:customStyle="1" w:styleId="81">
    <w:name w:val="列出段落 Char"/>
    <w:link w:val="82"/>
    <w:qFormat/>
    <w:uiPriority w:val="0"/>
    <w:rPr>
      <w:kern w:val="2"/>
      <w:sz w:val="21"/>
      <w:szCs w:val="24"/>
    </w:rPr>
  </w:style>
  <w:style w:type="paragraph" w:styleId="82">
    <w:name w:val="List Paragraph"/>
    <w:basedOn w:val="1"/>
    <w:link w:val="81"/>
    <w:qFormat/>
    <w:uiPriority w:val="0"/>
    <w:pPr>
      <w:ind w:firstLine="420" w:firstLineChars="200"/>
    </w:pPr>
    <w:rPr>
      <w:rFonts w:eastAsia="宋体" w:cs="Times New Roman"/>
      <w:szCs w:val="24"/>
    </w:rPr>
  </w:style>
  <w:style w:type="character" w:customStyle="1" w:styleId="83">
    <w:name w:val="列表段落 字符"/>
    <w:qFormat/>
    <w:uiPriority w:val="34"/>
    <w:rPr>
      <w:rFonts w:ascii="Times New Roman" w:hAnsi="Times New Roman" w:eastAsia="宋体" w:cs="Times New Roman"/>
      <w:sz w:val="28"/>
      <w:szCs w:val="20"/>
    </w:rPr>
  </w:style>
  <w:style w:type="character" w:customStyle="1" w:styleId="84">
    <w:name w:val="标准文件_文本标题 Char"/>
    <w:link w:val="85"/>
    <w:qFormat/>
    <w:uiPriority w:val="0"/>
    <w:rPr>
      <w:rFonts w:eastAsia="黑体" w:cs="Times New Roman"/>
      <w:kern w:val="2"/>
      <w:sz w:val="32"/>
      <w:szCs w:val="21"/>
    </w:rPr>
  </w:style>
  <w:style w:type="paragraph" w:customStyle="1" w:styleId="85">
    <w:name w:val="标准文件_文本标题"/>
    <w:basedOn w:val="86"/>
    <w:link w:val="84"/>
    <w:qFormat/>
    <w:uiPriority w:val="0"/>
    <w:pPr>
      <w:spacing w:before="326" w:after="326"/>
      <w:outlineLvl w:val="9"/>
    </w:pPr>
  </w:style>
  <w:style w:type="paragraph" w:customStyle="1" w:styleId="86">
    <w:name w:val="标准文件_结构标题"/>
    <w:next w:val="87"/>
    <w:qFormat/>
    <w:uiPriority w:val="0"/>
    <w:pPr>
      <w:spacing w:beforeLines="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87">
    <w:name w:val="标准文件_段落"/>
    <w:qFormat/>
    <w:uiPriority w:val="0"/>
    <w:pPr>
      <w:spacing w:line="420" w:lineRule="atLeast"/>
      <w:ind w:firstLine="480" w:firstLineChars="200"/>
    </w:pPr>
    <w:rPr>
      <w:rFonts w:ascii="Times New Roman" w:hAnsi="Times New Roman" w:eastAsia="宋体" w:cs="Times New Roman"/>
      <w:kern w:val="2"/>
      <w:sz w:val="24"/>
      <w:szCs w:val="21"/>
      <w:lang w:val="en-US" w:eastAsia="zh-CN" w:bidi="ar-SA"/>
    </w:rPr>
  </w:style>
  <w:style w:type="character" w:customStyle="1" w:styleId="88">
    <w:name w:val="html_atr1"/>
    <w:qFormat/>
    <w:uiPriority w:val="0"/>
    <w:rPr>
      <w:color w:val="FF0000"/>
    </w:rPr>
  </w:style>
  <w:style w:type="character" w:customStyle="1" w:styleId="89">
    <w:name w:val="Char Char"/>
    <w:qFormat/>
    <w:uiPriority w:val="0"/>
    <w:rPr>
      <w:rFonts w:ascii="Tahoma" w:hAnsi="Tahoma" w:eastAsia="宋体"/>
      <w:sz w:val="24"/>
    </w:rPr>
  </w:style>
  <w:style w:type="character" w:customStyle="1" w:styleId="90">
    <w:name w:val="样式0110-07正文 Char"/>
    <w:link w:val="91"/>
    <w:qFormat/>
    <w:uiPriority w:val="0"/>
    <w:rPr>
      <w:rFonts w:ascii="宋体" w:hAnsi="宋体"/>
      <w:kern w:val="2"/>
      <w:sz w:val="21"/>
      <w:szCs w:val="24"/>
    </w:rPr>
  </w:style>
  <w:style w:type="paragraph" w:customStyle="1" w:styleId="91">
    <w:name w:val="样式0110-07正文"/>
    <w:basedOn w:val="1"/>
    <w:link w:val="90"/>
    <w:qFormat/>
    <w:uiPriority w:val="0"/>
    <w:pPr>
      <w:ind w:firstLine="200" w:firstLineChars="200"/>
    </w:pPr>
    <w:rPr>
      <w:rFonts w:ascii="宋体" w:hAnsi="宋体" w:eastAsia="宋体" w:cs="Times New Roman"/>
      <w:szCs w:val="24"/>
    </w:rPr>
  </w:style>
  <w:style w:type="character" w:customStyle="1" w:styleId="92">
    <w:name w:val="Char Char4"/>
    <w:qFormat/>
    <w:uiPriority w:val="0"/>
    <w:rPr>
      <w:kern w:val="2"/>
      <w:sz w:val="18"/>
      <w:szCs w:val="18"/>
    </w:rPr>
  </w:style>
  <w:style w:type="character" w:customStyle="1" w:styleId="93">
    <w:name w:val="段5# Char"/>
    <w:link w:val="94"/>
    <w:qFormat/>
    <w:uiPriority w:val="0"/>
    <w:rPr>
      <w:kern w:val="2"/>
      <w:sz w:val="24"/>
      <w:szCs w:val="21"/>
    </w:rPr>
  </w:style>
  <w:style w:type="paragraph" w:customStyle="1" w:styleId="94">
    <w:name w:val="段5#"/>
    <w:basedOn w:val="1"/>
    <w:link w:val="93"/>
    <w:qFormat/>
    <w:uiPriority w:val="0"/>
    <w:pPr>
      <w:spacing w:line="360" w:lineRule="auto"/>
      <w:ind w:firstLine="200" w:firstLineChars="200"/>
    </w:pPr>
    <w:rPr>
      <w:rFonts w:eastAsia="宋体" w:cs="Times New Roman"/>
      <w:sz w:val="24"/>
    </w:rPr>
  </w:style>
  <w:style w:type="character" w:customStyle="1" w:styleId="95">
    <w:name w:val="Footer-Even Char"/>
    <w:qFormat/>
    <w:uiPriority w:val="0"/>
    <w:rPr>
      <w:rFonts w:eastAsia="MS Gothic" w:cs="MS Gothic"/>
      <w:kern w:val="2"/>
      <w:sz w:val="18"/>
      <w:szCs w:val="18"/>
      <w:lang w:val="en-US" w:eastAsia="zh-CN" w:bidi="ar-SA"/>
    </w:rPr>
  </w:style>
  <w:style w:type="paragraph" w:customStyle="1" w:styleId="96">
    <w:name w:val="font10"/>
    <w:basedOn w:val="1"/>
    <w:qFormat/>
    <w:uiPriority w:val="0"/>
    <w:pPr>
      <w:spacing w:before="100" w:beforeAutospacing="1" w:after="100" w:afterAutospacing="1"/>
    </w:pPr>
    <w:rPr>
      <w:rFonts w:ascii="Arial" w:hAnsi="Arial" w:eastAsia="Arial Unicode MS" w:cs="Arial"/>
      <w:b/>
      <w:bCs/>
      <w:szCs w:val="24"/>
      <w:lang w:val="de-DE"/>
    </w:rPr>
  </w:style>
  <w:style w:type="paragraph" w:customStyle="1" w:styleId="97">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98">
    <w:name w:val="项目号a)"/>
    <w:basedOn w:val="1"/>
    <w:qFormat/>
    <w:uiPriority w:val="0"/>
    <w:pPr>
      <w:spacing w:line="288" w:lineRule="auto"/>
      <w:ind w:left="432" w:hanging="432"/>
    </w:pPr>
    <w:rPr>
      <w:rFonts w:eastAsia="宋体" w:cs="Times New Roman"/>
      <w:kern w:val="0"/>
      <w:sz w:val="28"/>
      <w:szCs w:val="20"/>
    </w:rPr>
  </w:style>
  <w:style w:type="paragraph" w:customStyle="1" w:styleId="99">
    <w:name w:val="Char"/>
    <w:basedOn w:val="1"/>
    <w:qFormat/>
    <w:uiPriority w:val="0"/>
    <w:rPr>
      <w:rFonts w:ascii="Tahoma" w:hAnsi="Tahoma" w:eastAsia="宋体" w:cs="Times New Roman"/>
      <w:sz w:val="24"/>
      <w:szCs w:val="22"/>
    </w:rPr>
  </w:style>
  <w:style w:type="paragraph" w:customStyle="1" w:styleId="10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01">
    <w:name w:val="xl85"/>
    <w:basedOn w:val="1"/>
    <w:qFormat/>
    <w:uiPriority w:val="0"/>
    <w:pPr>
      <w:widowControl/>
      <w:pBdr>
        <w:right w:val="single" w:color="auto" w:sz="8"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02">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10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4">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10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样式"/>
    <w:basedOn w:val="2"/>
    <w:qFormat/>
    <w:uiPriority w:val="0"/>
    <w:pPr>
      <w:keepLines/>
      <w:pageBreakBefore/>
      <w:tabs>
        <w:tab w:val="left" w:pos="360"/>
        <w:tab w:val="left" w:pos="1290"/>
      </w:tabs>
      <w:autoSpaceDE w:val="0"/>
      <w:autoSpaceDN w:val="0"/>
      <w:snapToGrid w:val="0"/>
      <w:spacing w:before="340" w:beforeLines="50" w:after="120" w:line="360" w:lineRule="auto"/>
      <w:ind w:hanging="357"/>
      <w:jc w:val="left"/>
      <w:outlineLvl w:val="9"/>
    </w:pPr>
    <w:rPr>
      <w:rFonts w:ascii="Arial" w:hAnsi="Arial"/>
      <w:b/>
      <w:snapToGrid w:val="0"/>
      <w:color w:val="000000"/>
      <w:kern w:val="0"/>
      <w:sz w:val="32"/>
      <w:szCs w:val="28"/>
    </w:rPr>
  </w:style>
  <w:style w:type="paragraph" w:customStyle="1" w:styleId="107">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108">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9">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11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1">
    <w:name w:val="正文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2">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113">
    <w:name w:val="chu号初"/>
    <w:basedOn w:val="1"/>
    <w:qFormat/>
    <w:uiPriority w:val="0"/>
    <w:pPr>
      <w:spacing w:beforeLines="200" w:afterLines="100"/>
      <w:jc w:val="center"/>
    </w:pPr>
    <w:rPr>
      <w:rFonts w:ascii="黑体" w:hAnsi="宋体" w:eastAsia="黑体" w:cs="Times New Roman"/>
      <w:b/>
      <w:sz w:val="84"/>
      <w:szCs w:val="84"/>
    </w:rPr>
  </w:style>
  <w:style w:type="paragraph" w:customStyle="1" w:styleId="11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15">
    <w:name w:val="cdf样式"/>
    <w:basedOn w:val="1"/>
    <w:qFormat/>
    <w:uiPriority w:val="0"/>
    <w:pPr>
      <w:spacing w:line="288" w:lineRule="auto"/>
    </w:pPr>
    <w:rPr>
      <w:rFonts w:eastAsia="宋体" w:cs="Times New Roman"/>
      <w:snapToGrid w:val="0"/>
      <w:spacing w:val="5"/>
      <w:kern w:val="0"/>
      <w:szCs w:val="20"/>
    </w:rPr>
  </w:style>
  <w:style w:type="paragraph" w:customStyle="1" w:styleId="116">
    <w:name w:val="一号黑体"/>
    <w:basedOn w:val="1"/>
    <w:qFormat/>
    <w:uiPriority w:val="0"/>
    <w:pPr>
      <w:jc w:val="center"/>
    </w:pPr>
    <w:rPr>
      <w:rFonts w:ascii="黑体" w:hAnsi="宋体" w:eastAsia="黑体" w:cs="Times New Roman"/>
      <w:b/>
      <w:sz w:val="52"/>
      <w:szCs w:val="52"/>
    </w:rPr>
  </w:style>
  <w:style w:type="paragraph" w:customStyle="1" w:styleId="117">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118">
    <w:name w:val="样式3"/>
    <w:basedOn w:val="35"/>
    <w:qFormat/>
    <w:locked/>
    <w:uiPriority w:val="0"/>
    <w:pPr>
      <w:widowControl/>
      <w:jc w:val="left"/>
    </w:pPr>
    <w:rPr>
      <w:sz w:val="28"/>
      <w:szCs w:val="28"/>
    </w:rPr>
  </w:style>
  <w:style w:type="paragraph" w:customStyle="1" w:styleId="119">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12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1">
    <w:name w:val="font8"/>
    <w:basedOn w:val="1"/>
    <w:qFormat/>
    <w:uiPriority w:val="0"/>
    <w:pPr>
      <w:spacing w:before="100" w:beforeAutospacing="1" w:after="100" w:afterAutospacing="1"/>
    </w:pPr>
    <w:rPr>
      <w:rFonts w:ascii="Arial" w:hAnsi="Arial" w:eastAsia="Arial Unicode MS" w:cs="Arial"/>
      <w:b/>
      <w:bCs/>
      <w:sz w:val="16"/>
      <w:szCs w:val="16"/>
      <w:lang w:val="de-DE"/>
    </w:rPr>
  </w:style>
  <w:style w:type="paragraph" w:customStyle="1" w:styleId="122">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2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24">
    <w:name w:val="xl27"/>
    <w:basedOn w:val="1"/>
    <w:qFormat/>
    <w:uiPriority w:val="0"/>
    <w:pPr>
      <w:widowControl/>
      <w:spacing w:before="100" w:beforeAutospacing="1" w:after="100" w:afterAutospacing="1"/>
      <w:jc w:val="center"/>
    </w:pPr>
    <w:rPr>
      <w:rFonts w:ascii="宋体" w:hAnsi="宋体" w:eastAsia="宋体" w:cs="Times New Roman"/>
      <w:kern w:val="0"/>
    </w:rPr>
  </w:style>
  <w:style w:type="paragraph" w:customStyle="1" w:styleId="125">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2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7">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28">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29">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0">
    <w:name w:val="font7"/>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31">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2">
    <w:name w:val="text"/>
    <w:basedOn w:val="27"/>
    <w:qFormat/>
    <w:uiPriority w:val="0"/>
    <w:pPr>
      <w:widowControl/>
      <w:jc w:val="left"/>
    </w:pPr>
    <w:rPr>
      <w:rFonts w:ascii="Arial" w:hAnsi="Arial"/>
      <w:kern w:val="0"/>
      <w:sz w:val="20"/>
      <w:szCs w:val="16"/>
    </w:rPr>
  </w:style>
  <w:style w:type="paragraph" w:customStyle="1" w:styleId="133">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rPr>
  </w:style>
  <w:style w:type="paragraph" w:customStyle="1" w:styleId="134">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35">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36">
    <w:name w:val="样式1"/>
    <w:basedOn w:val="135"/>
    <w:next w:val="1"/>
    <w:qFormat/>
    <w:locked/>
    <w:uiPriority w:val="0"/>
    <w:pPr>
      <w:spacing w:line="500" w:lineRule="exact"/>
    </w:pPr>
    <w:rPr>
      <w:rFonts w:eastAsia="宋体"/>
      <w:sz w:val="28"/>
      <w:szCs w:val="28"/>
    </w:rPr>
  </w:style>
  <w:style w:type="paragraph" w:customStyle="1" w:styleId="13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8">
    <w:name w:val="样式2"/>
    <w:basedOn w:val="42"/>
    <w:next w:val="1"/>
    <w:qFormat/>
    <w:locked/>
    <w:uiPriority w:val="0"/>
    <w:pPr>
      <w:numPr>
        <w:ilvl w:val="0"/>
        <w:numId w:val="4"/>
      </w:numPr>
      <w:spacing w:line="500" w:lineRule="exact"/>
      <w:ind w:left="0" w:leftChars="0"/>
    </w:pPr>
    <w:rPr>
      <w:sz w:val="28"/>
      <w:szCs w:val="28"/>
    </w:rPr>
  </w:style>
  <w:style w:type="paragraph" w:customStyle="1" w:styleId="139">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40">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41">
    <w:name w:val="默认段落字体 Para Char"/>
    <w:basedOn w:val="1"/>
    <w:next w:val="1"/>
    <w:qFormat/>
    <w:uiPriority w:val="0"/>
    <w:pPr>
      <w:spacing w:line="360" w:lineRule="auto"/>
      <w:ind w:firstLine="560" w:firstLineChars="200"/>
    </w:pPr>
    <w:rPr>
      <w:rFonts w:ascii="华文中宋" w:hAnsi="华文中宋" w:eastAsia="楷体_GB2312" w:cs="宋体"/>
      <w:color w:val="000000"/>
      <w:kern w:val="0"/>
      <w:sz w:val="28"/>
      <w:szCs w:val="30"/>
    </w:rPr>
  </w:style>
  <w:style w:type="paragraph" w:customStyle="1" w:styleId="142">
    <w:name w:val="font6"/>
    <w:basedOn w:val="1"/>
    <w:qFormat/>
    <w:uiPriority w:val="0"/>
    <w:pPr>
      <w:spacing w:before="100" w:beforeAutospacing="1" w:after="100" w:afterAutospacing="1"/>
    </w:pPr>
    <w:rPr>
      <w:rFonts w:ascii="Arial" w:hAnsi="Arial" w:eastAsia="Arial Unicode MS" w:cs="Arial"/>
      <w:b/>
      <w:bCs/>
      <w:sz w:val="20"/>
      <w:szCs w:val="20"/>
      <w:lang w:val="de-DE"/>
    </w:rPr>
  </w:style>
  <w:style w:type="paragraph" w:customStyle="1" w:styleId="143">
    <w:name w:val="首行缩进"/>
    <w:qFormat/>
    <w:uiPriority w:val="0"/>
    <w:pPr>
      <w:widowControl w:val="0"/>
      <w:snapToGrid w:val="0"/>
      <w:spacing w:beforeLines="50" w:afterLines="50" w:line="348" w:lineRule="auto"/>
      <w:ind w:firstLine="56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44">
    <w:name w:val="表格1"/>
    <w:basedOn w:val="127"/>
    <w:qFormat/>
    <w:uiPriority w:val="0"/>
    <w:pPr>
      <w:autoSpaceDE/>
      <w:autoSpaceDN/>
      <w:spacing w:before="60" w:after="60" w:line="240" w:lineRule="atLeast"/>
      <w:ind w:firstLine="0"/>
      <w:jc w:val="left"/>
    </w:pPr>
    <w:rPr>
      <w:rFonts w:ascii="Times New Roman"/>
      <w:color w:val="auto"/>
      <w:sz w:val="21"/>
    </w:rPr>
  </w:style>
  <w:style w:type="paragraph" w:customStyle="1" w:styleId="145">
    <w:name w:val="epígrafe"/>
    <w:basedOn w:val="1"/>
    <w:qFormat/>
    <w:uiPriority w:val="0"/>
    <w:rPr>
      <w:rFonts w:eastAsia="宋体" w:cs="Times New Roman"/>
      <w:sz w:val="24"/>
      <w:szCs w:val="24"/>
    </w:rPr>
  </w:style>
  <w:style w:type="paragraph" w:customStyle="1" w:styleId="146">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7">
    <w:name w:val="cisdi_作业书样式"/>
    <w:basedOn w:val="3"/>
    <w:qFormat/>
    <w:locked/>
    <w:uiPriority w:val="0"/>
    <w:pPr>
      <w:widowControl/>
      <w:tabs>
        <w:tab w:val="left" w:pos="576"/>
      </w:tabs>
      <w:spacing w:before="0" w:after="0" w:line="415" w:lineRule="auto"/>
      <w:ind w:left="576" w:hanging="576"/>
      <w:jc w:val="left"/>
    </w:pPr>
    <w:rPr>
      <w:bCs w:val="0"/>
      <w:snapToGrid w:val="0"/>
      <w:kern w:val="0"/>
      <w:sz w:val="28"/>
      <w:szCs w:val="28"/>
    </w:rPr>
  </w:style>
  <w:style w:type="paragraph" w:customStyle="1" w:styleId="148">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49">
    <w:name w:val="2号宋体"/>
    <w:basedOn w:val="1"/>
    <w:qFormat/>
    <w:uiPriority w:val="0"/>
    <w:pPr>
      <w:spacing w:line="348" w:lineRule="auto"/>
      <w:jc w:val="center"/>
    </w:pPr>
    <w:rPr>
      <w:rFonts w:ascii="宋体" w:hAnsi="宋体" w:eastAsia="宋体" w:cs="Times New Roman"/>
      <w:sz w:val="44"/>
      <w:szCs w:val="44"/>
    </w:rPr>
  </w:style>
  <w:style w:type="paragraph" w:customStyle="1" w:styleId="150">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51">
    <w:name w:val="Char Char Char"/>
    <w:basedOn w:val="1"/>
    <w:qFormat/>
    <w:uiPriority w:val="0"/>
    <w:rPr>
      <w:rFonts w:ascii="Tahoma" w:hAnsi="Tahoma" w:eastAsia="宋体" w:cs="Times New Roman"/>
      <w:b/>
      <w:sz w:val="28"/>
      <w:szCs w:val="28"/>
    </w:rPr>
  </w:style>
  <w:style w:type="paragraph" w:customStyle="1" w:styleId="152">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53">
    <w:name w:val="A2"/>
    <w:basedOn w:val="154"/>
    <w:next w:val="1"/>
    <w:qFormat/>
    <w:uiPriority w:val="0"/>
    <w:pPr>
      <w:tabs>
        <w:tab w:val="left" w:pos="910"/>
      </w:tabs>
    </w:pPr>
    <w:rPr>
      <w:rFonts w:eastAsia="Arial"/>
      <w:sz w:val="22"/>
    </w:rPr>
  </w:style>
  <w:style w:type="paragraph" w:customStyle="1" w:styleId="154">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55">
    <w:name w:val="样式 样式 表内 + 宋体 段后: 0 磅 行距: 固定值 17 磅 + 段后: 0.1 行1"/>
    <w:basedOn w:val="1"/>
    <w:qFormat/>
    <w:uiPriority w:val="0"/>
    <w:pPr>
      <w:adjustRightInd w:val="0"/>
      <w:snapToGrid w:val="0"/>
      <w:spacing w:after="40" w:line="360" w:lineRule="auto"/>
      <w:jc w:val="center"/>
    </w:pPr>
    <w:rPr>
      <w:rFonts w:ascii="宋体" w:hAnsi="宋体" w:eastAsia="宋体" w:cs="Times New Roman"/>
      <w:snapToGrid w:val="0"/>
      <w:szCs w:val="20"/>
    </w:rPr>
  </w:style>
  <w:style w:type="paragraph" w:customStyle="1" w:styleId="156">
    <w:name w:val="Char Char Char Char Char Char Char"/>
    <w:basedOn w:val="1"/>
    <w:qFormat/>
    <w:uiPriority w:val="0"/>
    <w:rPr>
      <w:rFonts w:eastAsia="宋体" w:cs="Times New Roman"/>
      <w:szCs w:val="24"/>
    </w:rPr>
  </w:style>
  <w:style w:type="paragraph" w:customStyle="1" w:styleId="1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8">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59">
    <w:name w:val="正文文本 31"/>
    <w:basedOn w:val="1"/>
    <w:qFormat/>
    <w:uiPriority w:val="0"/>
    <w:pPr>
      <w:adjustRightInd w:val="0"/>
      <w:jc w:val="center"/>
      <w:textAlignment w:val="baseline"/>
    </w:pPr>
    <w:rPr>
      <w:rFonts w:eastAsia="宋体" w:cs="Times New Roman"/>
      <w:szCs w:val="20"/>
    </w:rPr>
  </w:style>
  <w:style w:type="paragraph" w:customStyle="1" w:styleId="160">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61">
    <w:name w:val="Char Char Char Char"/>
    <w:basedOn w:val="1"/>
    <w:qFormat/>
    <w:uiPriority w:val="0"/>
    <w:pPr>
      <w:widowControl/>
      <w:spacing w:after="160" w:line="240" w:lineRule="exact"/>
      <w:jc w:val="left"/>
    </w:pPr>
    <w:rPr>
      <w:rFonts w:eastAsia="宋体" w:cs="Times New Roman"/>
      <w:szCs w:val="20"/>
    </w:rPr>
  </w:style>
  <w:style w:type="paragraph" w:customStyle="1" w:styleId="162">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63">
    <w:name w:val="toa"/>
    <w:basedOn w:val="1"/>
    <w:qFormat/>
    <w:uiPriority w:val="0"/>
    <w:pPr>
      <w:tabs>
        <w:tab w:val="left" w:pos="9000"/>
        <w:tab w:val="right" w:pos="9360"/>
      </w:tabs>
      <w:suppressAutoHyphens/>
    </w:pPr>
    <w:rPr>
      <w:rFonts w:eastAsia="宋体" w:cs="Times New Roman"/>
      <w:szCs w:val="24"/>
    </w:rPr>
  </w:style>
  <w:style w:type="paragraph" w:customStyle="1" w:styleId="164">
    <w:name w:val="xl25"/>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65">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66">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67">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68">
    <w:name w:val="font0"/>
    <w:basedOn w:val="1"/>
    <w:qFormat/>
    <w:uiPriority w:val="0"/>
    <w:pPr>
      <w:widowControl/>
      <w:spacing w:before="100" w:beforeAutospacing="1" w:after="100" w:afterAutospacing="1"/>
      <w:jc w:val="left"/>
    </w:pPr>
    <w:rPr>
      <w:rFonts w:hint="eastAsia" w:ascii="宋体" w:hAnsi="宋体" w:eastAsia="宋体" w:cs="Times New Roman"/>
      <w:kern w:val="0"/>
    </w:rPr>
  </w:style>
  <w:style w:type="paragraph" w:customStyle="1" w:styleId="169">
    <w:name w:val="font5"/>
    <w:basedOn w:val="1"/>
    <w:qFormat/>
    <w:uiPriority w:val="0"/>
    <w:pPr>
      <w:spacing w:before="100" w:beforeAutospacing="1" w:after="100" w:afterAutospacing="1"/>
    </w:pPr>
    <w:rPr>
      <w:rFonts w:ascii="Arial" w:hAnsi="Arial" w:eastAsia="Arial Unicode MS" w:cs="Arial"/>
      <w:b/>
      <w:bCs/>
      <w:sz w:val="18"/>
      <w:szCs w:val="18"/>
      <w:lang w:val="de-DE"/>
    </w:rPr>
  </w:style>
  <w:style w:type="paragraph" w:customStyle="1" w:styleId="170">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7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72">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73">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74">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75">
    <w:name w:val="Char Char1"/>
    <w:basedOn w:val="1"/>
    <w:qFormat/>
    <w:uiPriority w:val="0"/>
    <w:rPr>
      <w:rFonts w:ascii="Tahoma" w:hAnsi="Tahoma" w:eastAsia="宋体" w:cs="Times New Roman"/>
      <w:b/>
      <w:sz w:val="28"/>
      <w:szCs w:val="28"/>
    </w:rPr>
  </w:style>
  <w:style w:type="paragraph" w:customStyle="1" w:styleId="176">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rPr>
  </w:style>
  <w:style w:type="paragraph" w:customStyle="1" w:styleId="17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8">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79">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80">
    <w:name w:val="2号黑体"/>
    <w:basedOn w:val="1"/>
    <w:qFormat/>
    <w:uiPriority w:val="0"/>
    <w:pPr>
      <w:jc w:val="center"/>
    </w:pPr>
    <w:rPr>
      <w:rFonts w:ascii="黑体" w:hAnsi="宋体" w:eastAsia="黑体" w:cs="Times New Roman"/>
      <w:b/>
      <w:sz w:val="44"/>
      <w:szCs w:val="44"/>
    </w:rPr>
  </w:style>
  <w:style w:type="paragraph" w:customStyle="1" w:styleId="181">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82">
    <w:name w:val="xiao二黑"/>
    <w:basedOn w:val="1"/>
    <w:qFormat/>
    <w:uiPriority w:val="0"/>
    <w:pPr>
      <w:spacing w:beforeLines="100" w:afterLines="100"/>
      <w:jc w:val="center"/>
    </w:pPr>
    <w:rPr>
      <w:rFonts w:ascii="黑体" w:eastAsia="黑体" w:cs="Times New Roman"/>
      <w:b/>
      <w:sz w:val="36"/>
      <w:szCs w:val="36"/>
    </w:rPr>
  </w:style>
  <w:style w:type="paragraph" w:customStyle="1" w:styleId="183">
    <w:name w:val="xl24"/>
    <w:basedOn w:val="1"/>
    <w:qFormat/>
    <w:uiPriority w:val="0"/>
    <w:pPr>
      <w:pBdr>
        <w:top w:val="single" w:color="auto" w:sz="4" w:space="0"/>
      </w:pBdr>
      <w:spacing w:before="100" w:beforeAutospacing="1" w:after="100" w:afterAutospacing="1"/>
    </w:pPr>
    <w:rPr>
      <w:rFonts w:ascii="Arial Unicode MS" w:hAnsi="Arial Unicode MS" w:eastAsia="Arial Unicode MS" w:cs="Arial Unicode MS"/>
      <w:sz w:val="24"/>
      <w:szCs w:val="24"/>
      <w:lang w:val="de-DE"/>
    </w:rPr>
  </w:style>
  <w:style w:type="paragraph" w:customStyle="1" w:styleId="184">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85">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86">
    <w:name w:val="样式 样式 表内 + 宋体 段后: 0 磅 行距: 固定值 17 磅 + 段后: 0.1 行"/>
    <w:basedOn w:val="1"/>
    <w:qFormat/>
    <w:uiPriority w:val="0"/>
    <w:pPr>
      <w:adjustRightInd w:val="0"/>
      <w:snapToGrid w:val="0"/>
      <w:spacing w:after="20" w:line="360" w:lineRule="auto"/>
      <w:jc w:val="center"/>
    </w:pPr>
    <w:rPr>
      <w:rFonts w:ascii="宋体" w:hAnsi="宋体" w:eastAsia="宋体" w:cs="Times New Roman"/>
      <w:snapToGrid w:val="0"/>
      <w:szCs w:val="20"/>
    </w:rPr>
  </w:style>
  <w:style w:type="paragraph" w:customStyle="1" w:styleId="18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8">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89">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9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91">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9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3">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94">
    <w:name w:val="Char Char Char Char Char Char"/>
    <w:basedOn w:val="1"/>
    <w:qFormat/>
    <w:uiPriority w:val="0"/>
    <w:rPr>
      <w:rFonts w:ascii="Tahoma" w:hAnsi="Tahoma" w:eastAsia="宋体" w:cs="Times New Roman"/>
      <w:b/>
      <w:sz w:val="28"/>
      <w:szCs w:val="28"/>
    </w:rPr>
  </w:style>
  <w:style w:type="paragraph" w:customStyle="1" w:styleId="195">
    <w:name w:val="font9"/>
    <w:basedOn w:val="1"/>
    <w:qFormat/>
    <w:uiPriority w:val="0"/>
    <w:pPr>
      <w:spacing w:before="100" w:beforeAutospacing="1" w:after="100" w:afterAutospacing="1"/>
    </w:pPr>
    <w:rPr>
      <w:rFonts w:ascii="Arial" w:hAnsi="Arial" w:eastAsia="Arial Unicode MS" w:cs="Arial"/>
      <w:b/>
      <w:bCs/>
      <w:sz w:val="24"/>
      <w:szCs w:val="24"/>
      <w:lang w:val="de-DE"/>
    </w:rPr>
  </w:style>
  <w:style w:type="paragraph" w:customStyle="1" w:styleId="196">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97">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98">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99">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20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1">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202">
    <w:name w:val="默认段落字体 Para Char Char Char Char Char Char Char"/>
    <w:basedOn w:val="1"/>
    <w:qFormat/>
    <w:uiPriority w:val="0"/>
    <w:rPr>
      <w:rFonts w:eastAsia="宋体" w:cs="Times New Roman"/>
      <w:szCs w:val="24"/>
    </w:rPr>
  </w:style>
  <w:style w:type="paragraph" w:customStyle="1" w:styleId="203">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04">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6">
    <w:name w:val="样式17"/>
    <w:basedOn w:val="2"/>
    <w:qFormat/>
    <w:uiPriority w:val="0"/>
    <w:pPr>
      <w:keepLines/>
      <w:pageBreakBefore/>
      <w:snapToGrid w:val="0"/>
      <w:jc w:val="left"/>
    </w:pPr>
    <w:rPr>
      <w:rFonts w:ascii="仿宋_GB2312" w:eastAsia="仿宋_GB2312"/>
      <w:b/>
      <w:bCs/>
      <w:color w:val="0000FF"/>
      <w:kern w:val="44"/>
      <w:szCs w:val="28"/>
    </w:rPr>
  </w:style>
  <w:style w:type="paragraph" w:customStyle="1" w:styleId="207">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8">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szCs w:val="24"/>
    </w:rPr>
  </w:style>
  <w:style w:type="paragraph" w:customStyle="1" w:styleId="209">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0">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1">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212">
    <w:name w:val="标准文件_单条注释"/>
    <w:next w:val="87"/>
    <w:qFormat/>
    <w:uiPriority w:val="0"/>
    <w:pPr>
      <w:numPr>
        <w:ilvl w:val="0"/>
        <w:numId w:val="5"/>
      </w:numPr>
    </w:pPr>
    <w:rPr>
      <w:rFonts w:ascii="Times New Roman" w:hAnsi="Times New Roman" w:eastAsia="宋体" w:cs="Times New Roman"/>
      <w:kern w:val="2"/>
      <w:sz w:val="21"/>
      <w:szCs w:val="21"/>
      <w:lang w:val="en-US" w:eastAsia="zh-CN" w:bidi="ar-SA"/>
    </w:rPr>
  </w:style>
  <w:style w:type="paragraph" w:customStyle="1" w:styleId="213">
    <w:name w:val="样式 标题 1 + 段后: 0.5 行"/>
    <w:basedOn w:val="2"/>
    <w:qFormat/>
    <w:uiPriority w:val="0"/>
    <w:pPr>
      <w:pageBreakBefore/>
      <w:tabs>
        <w:tab w:val="left" w:pos="1290"/>
      </w:tabs>
      <w:adjustRightInd w:val="0"/>
      <w:snapToGrid w:val="0"/>
      <w:spacing w:after="330" w:afterLines="50" w:line="348" w:lineRule="auto"/>
      <w:ind w:left="197"/>
      <w:jc w:val="left"/>
      <w:textAlignment w:val="baseline"/>
    </w:pPr>
    <w:rPr>
      <w:rFonts w:ascii="仿宋_GB2312" w:eastAsia="仿宋_GB2312"/>
      <w:b/>
      <w:bCs/>
      <w:color w:val="0000FF"/>
    </w:rPr>
  </w:style>
  <w:style w:type="paragraph" w:customStyle="1" w:styleId="214">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5">
    <w:name w:val="标准文件_公式"/>
    <w:next w:val="8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216">
    <w:name w:val="样式23"/>
    <w:basedOn w:val="2"/>
    <w:next w:val="17"/>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217">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1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9">
    <w:name w:val="Char Char Char1 Char Char Char Char Char Char Char"/>
    <w:basedOn w:val="1"/>
    <w:qFormat/>
    <w:uiPriority w:val="0"/>
    <w:rPr>
      <w:rFonts w:ascii="Tahoma" w:hAnsi="Tahoma" w:eastAsia="宋体" w:cs="Times New Roman"/>
      <w:sz w:val="24"/>
      <w:szCs w:val="20"/>
    </w:rPr>
  </w:style>
  <w:style w:type="paragraph" w:customStyle="1" w:styleId="22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1">
    <w:name w:val="样式16"/>
    <w:basedOn w:val="2"/>
    <w:qFormat/>
    <w:uiPriority w:val="0"/>
    <w:pPr>
      <w:keepLines/>
      <w:pageBreakBefore/>
      <w:jc w:val="left"/>
    </w:pPr>
    <w:rPr>
      <w:rFonts w:ascii="仿宋_GB2312" w:eastAsia="仿宋_GB2312"/>
      <w:b/>
      <w:bCs/>
      <w:color w:val="0000FF"/>
      <w:kern w:val="44"/>
      <w:szCs w:val="28"/>
    </w:rPr>
  </w:style>
  <w:style w:type="paragraph" w:customStyle="1" w:styleId="222">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23">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hint="eastAsia" w:ascii="华文细黑" w:hAnsi="华文细黑" w:eastAsia="华文细黑" w:cs="Times New Roman"/>
      <w:kern w:val="0"/>
      <w:sz w:val="24"/>
    </w:rPr>
  </w:style>
  <w:style w:type="paragraph" w:customStyle="1" w:styleId="224">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25">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6">
    <w:name w:val="Table Paragraph"/>
    <w:basedOn w:val="1"/>
    <w:qFormat/>
    <w:uiPriority w:val="1"/>
    <w:pPr>
      <w:jc w:val="left"/>
    </w:pPr>
    <w:rPr>
      <w:rFonts w:ascii="宋体" w:hAnsi="宋体" w:eastAsia="宋体" w:cs="宋体"/>
      <w:kern w:val="0"/>
      <w:sz w:val="22"/>
      <w:szCs w:val="22"/>
      <w:lang w:eastAsia="en-US"/>
    </w:rPr>
  </w:style>
  <w:style w:type="paragraph" w:customStyle="1" w:styleId="227">
    <w:name w:val="默认段落字体 Para Char Char Char Char"/>
    <w:basedOn w:val="1"/>
    <w:qFormat/>
    <w:uiPriority w:val="0"/>
    <w:rPr>
      <w:rFonts w:ascii="Arial" w:hAnsi="Arial" w:eastAsia="宋体" w:cs="Arial"/>
    </w:rPr>
  </w:style>
  <w:style w:type="paragraph" w:customStyle="1" w:styleId="228">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9">
    <w:name w:val="标准文件_图片"/>
    <w:next w:val="87"/>
    <w:qFormat/>
    <w:uiPriority w:val="0"/>
    <w:pPr>
      <w:jc w:val="center"/>
    </w:pPr>
    <w:rPr>
      <w:rFonts w:ascii="Times New Roman" w:hAnsi="Times New Roman" w:eastAsia="宋体" w:cs="Times New Roman"/>
      <w:kern w:val="2"/>
      <w:sz w:val="24"/>
      <w:szCs w:val="21"/>
      <w:lang w:val="en-US" w:eastAsia="zh-CN" w:bidi="ar-SA"/>
    </w:rPr>
  </w:style>
  <w:style w:type="paragraph" w:customStyle="1" w:styleId="230">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31">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2">
    <w:name w:val="标准文件_图片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33">
    <w:name w:val="样式20"/>
    <w:basedOn w:val="3"/>
    <w:next w:val="17"/>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34">
    <w:name w:val="Body Text First Indent3"/>
    <w:basedOn w:val="17"/>
    <w:qFormat/>
    <w:uiPriority w:val="0"/>
    <w:pPr>
      <w:spacing w:line="240" w:lineRule="auto"/>
      <w:ind w:firstLine="567"/>
    </w:pPr>
    <w:rPr>
      <w:sz w:val="21"/>
      <w:szCs w:val="24"/>
    </w:rPr>
  </w:style>
  <w:style w:type="paragraph" w:customStyle="1" w:styleId="235">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6">
    <w:name w:val="标题6 5#"/>
    <w:basedOn w:val="237"/>
    <w:next w:val="94"/>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37">
    <w:name w:val="标题5 5#"/>
    <w:basedOn w:val="238"/>
    <w:next w:val="94"/>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38">
    <w:name w:val="标题4 5#"/>
    <w:basedOn w:val="239"/>
    <w:next w:val="94"/>
    <w:qFormat/>
    <w:uiPriority w:val="0"/>
    <w:pPr>
      <w:numPr>
        <w:ilvl w:val="3"/>
      </w:numPr>
      <w:tabs>
        <w:tab w:val="left" w:pos="340"/>
        <w:tab w:val="left" w:pos="1140"/>
        <w:tab w:val="left" w:pos="2160"/>
        <w:tab w:val="left" w:pos="2880"/>
      </w:tabs>
      <w:ind w:left="2940" w:hanging="360"/>
      <w:outlineLvl w:val="3"/>
    </w:pPr>
  </w:style>
  <w:style w:type="paragraph" w:customStyle="1" w:styleId="239">
    <w:name w:val="标题3 5#"/>
    <w:basedOn w:val="240"/>
    <w:next w:val="94"/>
    <w:qFormat/>
    <w:uiPriority w:val="0"/>
    <w:pPr>
      <w:numPr>
        <w:ilvl w:val="2"/>
      </w:numPr>
      <w:tabs>
        <w:tab w:val="left" w:pos="340"/>
        <w:tab w:val="left" w:pos="1140"/>
        <w:tab w:val="left" w:pos="2160"/>
      </w:tabs>
      <w:ind w:left="2220" w:hanging="360"/>
      <w:outlineLvl w:val="2"/>
    </w:pPr>
  </w:style>
  <w:style w:type="paragraph" w:customStyle="1" w:styleId="240">
    <w:name w:val="标题2 5#"/>
    <w:basedOn w:val="94"/>
    <w:next w:val="94"/>
    <w:qFormat/>
    <w:uiPriority w:val="0"/>
    <w:pPr>
      <w:numPr>
        <w:ilvl w:val="1"/>
        <w:numId w:val="6"/>
      </w:numPr>
      <w:tabs>
        <w:tab w:val="left" w:pos="340"/>
        <w:tab w:val="left" w:pos="1140"/>
        <w:tab w:val="clear" w:pos="567"/>
      </w:tabs>
      <w:ind w:left="1500" w:firstLine="200" w:firstLineChars="0"/>
      <w:outlineLvl w:val="1"/>
    </w:pPr>
    <w:rPr>
      <w:rFonts w:ascii="Arial" w:hAnsi="Arial" w:eastAsia="黑体"/>
    </w:rPr>
  </w:style>
  <w:style w:type="paragraph" w:customStyle="1" w:styleId="241">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42">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3">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44">
    <w:name w:val="表续正文"/>
    <w:basedOn w:val="12"/>
    <w:next w:val="94"/>
    <w:qFormat/>
    <w:uiPriority w:val="0"/>
    <w:pPr>
      <w:tabs>
        <w:tab w:val="left" w:pos="822"/>
      </w:tabs>
      <w:adjustRightInd/>
      <w:spacing w:line="360" w:lineRule="auto"/>
      <w:ind w:left="554" w:hanging="567"/>
      <w:jc w:val="center"/>
      <w:textAlignment w:val="auto"/>
    </w:pPr>
    <w:rPr>
      <w:rFonts w:ascii="Arial" w:hAnsi="Arial" w:eastAsia="黑体"/>
      <w:kern w:val="2"/>
      <w:sz w:val="24"/>
      <w:szCs w:val="21"/>
    </w:rPr>
  </w:style>
  <w:style w:type="paragraph" w:customStyle="1" w:styleId="245">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6">
    <w:name w:val="标准文件_章标题"/>
    <w:next w:val="87"/>
    <w:qFormat/>
    <w:uiPriority w:val="0"/>
    <w:pPr>
      <w:numPr>
        <w:ilvl w:val="1"/>
        <w:numId w:val="7"/>
      </w:numPr>
      <w:spacing w:beforeLines="50" w:afterLines="50"/>
      <w:outlineLvl w:val="1"/>
    </w:pPr>
    <w:rPr>
      <w:rFonts w:ascii="Times New Roman" w:hAnsi="Times New Roman" w:eastAsia="黑体" w:cs="Times New Roman"/>
      <w:kern w:val="2"/>
      <w:sz w:val="28"/>
      <w:szCs w:val="21"/>
      <w:lang w:val="en-US" w:eastAsia="zh-CN" w:bidi="ar-SA"/>
    </w:rPr>
  </w:style>
  <w:style w:type="paragraph" w:customStyle="1" w:styleId="247">
    <w:name w:val="样式 正文文字 + 小四 段后: 0 磅 行距: 1.5 倍行距"/>
    <w:basedOn w:val="1"/>
    <w:next w:val="118"/>
    <w:qFormat/>
    <w:uiPriority w:val="0"/>
    <w:pPr>
      <w:spacing w:line="360" w:lineRule="auto"/>
      <w:ind w:firstLine="480" w:firstLineChars="200"/>
    </w:pPr>
    <w:rPr>
      <w:rFonts w:eastAsia="宋体" w:cs="Times New Roman"/>
      <w:sz w:val="24"/>
      <w:szCs w:val="20"/>
    </w:rPr>
  </w:style>
  <w:style w:type="paragraph" w:customStyle="1" w:styleId="248">
    <w:name w:val="样式12"/>
    <w:basedOn w:val="4"/>
    <w:qFormat/>
    <w:uiPriority w:val="0"/>
    <w:pPr>
      <w:snapToGrid w:val="0"/>
      <w:spacing w:before="0" w:after="0" w:line="240" w:lineRule="auto"/>
      <w:jc w:val="left"/>
    </w:pPr>
    <w:rPr>
      <w:rFonts w:eastAsia="宋体" w:cs="Times New Roman"/>
      <w:b w:val="0"/>
      <w:bCs w:val="0"/>
      <w:sz w:val="28"/>
    </w:rPr>
  </w:style>
  <w:style w:type="paragraph" w:customStyle="1" w:styleId="249">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0">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1">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2">
    <w:name w:val="表正文"/>
    <w:basedOn w:val="94"/>
    <w:next w:val="94"/>
    <w:qFormat/>
    <w:uiPriority w:val="0"/>
    <w:pPr>
      <w:numPr>
        <w:ilvl w:val="0"/>
        <w:numId w:val="8"/>
      </w:numPr>
      <w:tabs>
        <w:tab w:val="left" w:pos="360"/>
        <w:tab w:val="left" w:pos="1049"/>
      </w:tabs>
      <w:ind w:firstLineChars="0"/>
      <w:jc w:val="center"/>
    </w:pPr>
    <w:rPr>
      <w:rFonts w:ascii="Arial" w:hAnsi="Arial" w:eastAsia="黑体"/>
    </w:rPr>
  </w:style>
  <w:style w:type="paragraph" w:customStyle="1" w:styleId="253">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54">
    <w:name w:val="样式6"/>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55">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6">
    <w:name w:val="标准文件_多条注释"/>
    <w:next w:val="87"/>
    <w:qFormat/>
    <w:uiPriority w:val="0"/>
    <w:pPr>
      <w:numPr>
        <w:ilvl w:val="0"/>
        <w:numId w:val="9"/>
      </w:numPr>
    </w:pPr>
    <w:rPr>
      <w:rFonts w:ascii="Times New Roman" w:hAnsi="Times New Roman" w:eastAsia="宋体" w:cs="Times New Roman"/>
      <w:kern w:val="2"/>
      <w:sz w:val="21"/>
      <w:szCs w:val="21"/>
      <w:lang w:val="en-US" w:eastAsia="zh-CN" w:bidi="ar-SA"/>
    </w:rPr>
  </w:style>
  <w:style w:type="paragraph" w:customStyle="1" w:styleId="257">
    <w:name w:val="标题01"/>
    <w:basedOn w:val="2"/>
    <w:qFormat/>
    <w:uiPriority w:val="0"/>
    <w:pPr>
      <w:keepLines/>
      <w:numPr>
        <w:ilvl w:val="0"/>
        <w:numId w:val="10"/>
      </w:numPr>
      <w:tabs>
        <w:tab w:val="left" w:pos="1920"/>
      </w:tabs>
      <w:spacing w:before="340" w:after="330" w:line="578" w:lineRule="auto"/>
      <w:ind w:left="1920" w:hanging="1155"/>
      <w:jc w:val="both"/>
    </w:pPr>
    <w:rPr>
      <w:rFonts w:ascii="宋体" w:hAnsi="Tahoma"/>
      <w:bCs/>
      <w:kern w:val="44"/>
      <w:sz w:val="32"/>
      <w:szCs w:val="32"/>
    </w:rPr>
  </w:style>
  <w:style w:type="paragraph" w:customStyle="1" w:styleId="258">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9">
    <w:name w:val="标准文件_字母列项"/>
    <w:next w:val="87"/>
    <w:qFormat/>
    <w:uiPriority w:val="0"/>
    <w:pPr>
      <w:numPr>
        <w:ilvl w:val="0"/>
        <w:numId w:val="11"/>
      </w:numPr>
      <w:spacing w:line="420" w:lineRule="atLeast"/>
    </w:pPr>
    <w:rPr>
      <w:rFonts w:ascii="Times New Roman" w:hAnsi="Times New Roman" w:eastAsia="宋体" w:cs="Times New Roman"/>
      <w:kern w:val="2"/>
      <w:sz w:val="24"/>
      <w:szCs w:val="21"/>
      <w:lang w:val="en-US" w:eastAsia="zh-CN" w:bidi="ar-SA"/>
    </w:rPr>
  </w:style>
  <w:style w:type="paragraph" w:customStyle="1" w:styleId="260">
    <w:name w:val="正文3"/>
    <w:qFormat/>
    <w:uiPriority w:val="0"/>
    <w:pPr>
      <w:jc w:val="both"/>
    </w:pPr>
    <w:rPr>
      <w:rFonts w:ascii="Calibri" w:hAnsi="Calibri" w:eastAsia="宋体" w:cs="Calibri"/>
      <w:kern w:val="2"/>
      <w:sz w:val="21"/>
      <w:szCs w:val="21"/>
      <w:lang w:val="en-US" w:eastAsia="zh-CN" w:bidi="ar-SA"/>
    </w:rPr>
  </w:style>
  <w:style w:type="paragraph" w:customStyle="1" w:styleId="261">
    <w:name w:val="文本块2"/>
    <w:basedOn w:val="1"/>
    <w:qFormat/>
    <w:uiPriority w:val="0"/>
    <w:pPr>
      <w:numPr>
        <w:ilvl w:val="8"/>
        <w:numId w:val="12"/>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62">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3">
    <w:name w:val="_Style 259"/>
    <w:basedOn w:val="2"/>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64">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5">
    <w:name w:val="样式9"/>
    <w:basedOn w:val="4"/>
    <w:qFormat/>
    <w:uiPriority w:val="0"/>
    <w:pPr>
      <w:spacing w:before="0" w:after="0" w:line="240" w:lineRule="auto"/>
      <w:jc w:val="left"/>
    </w:pPr>
    <w:rPr>
      <w:rFonts w:eastAsia="宋体" w:cs="Times New Roman"/>
      <w:b w:val="0"/>
      <w:bCs w:val="0"/>
      <w:sz w:val="28"/>
    </w:rPr>
  </w:style>
  <w:style w:type="paragraph" w:customStyle="1" w:styleId="266">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7">
    <w:name w:val="表格内容格式"/>
    <w:basedOn w:val="1"/>
    <w:qFormat/>
    <w:uiPriority w:val="0"/>
    <w:pPr>
      <w:adjustRightInd w:val="0"/>
      <w:snapToGrid w:val="0"/>
      <w:jc w:val="center"/>
      <w:textAlignment w:val="baseline"/>
    </w:pPr>
    <w:rPr>
      <w:rFonts w:ascii="宋体" w:hAnsi="宋体" w:eastAsia="宋体" w:cs="Times New Roman"/>
      <w:snapToGrid w:val="0"/>
      <w:kern w:val="0"/>
      <w:szCs w:val="20"/>
    </w:rPr>
  </w:style>
  <w:style w:type="paragraph" w:customStyle="1" w:styleId="268">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9">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70">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71">
    <w:name w:val="正文4"/>
    <w:basedOn w:val="1"/>
    <w:qFormat/>
    <w:uiPriority w:val="0"/>
    <w:pPr>
      <w:adjustRightInd w:val="0"/>
      <w:snapToGrid w:val="0"/>
      <w:spacing w:line="348" w:lineRule="auto"/>
      <w:ind w:firstLine="680"/>
    </w:pPr>
    <w:rPr>
      <w:rFonts w:hAnsi="宋体" w:eastAsia="宋体" w:cs="Times New Roman"/>
      <w:sz w:val="28"/>
      <w:szCs w:val="28"/>
    </w:rPr>
  </w:style>
  <w:style w:type="paragraph" w:customStyle="1" w:styleId="27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73">
    <w:name w:val="标准文件_多条示例"/>
    <w:next w:val="87"/>
    <w:qFormat/>
    <w:uiPriority w:val="0"/>
    <w:pPr>
      <w:numPr>
        <w:ilvl w:val="0"/>
        <w:numId w:val="13"/>
      </w:numPr>
    </w:pPr>
    <w:rPr>
      <w:rFonts w:ascii="Times New Roman" w:hAnsi="Times New Roman" w:eastAsia="宋体" w:cs="Times New Roman"/>
      <w:kern w:val="2"/>
      <w:sz w:val="21"/>
      <w:szCs w:val="21"/>
      <w:lang w:val="en-US" w:eastAsia="zh-CN" w:bidi="ar-SA"/>
    </w:rPr>
  </w:style>
  <w:style w:type="paragraph" w:customStyle="1" w:styleId="274">
    <w:name w:val="非标题2 5#"/>
    <w:basedOn w:val="1"/>
    <w:next w:val="94"/>
    <w:qFormat/>
    <w:uiPriority w:val="0"/>
    <w:pPr>
      <w:numPr>
        <w:ilvl w:val="1"/>
        <w:numId w:val="14"/>
      </w:numPr>
      <w:tabs>
        <w:tab w:val="left" w:pos="567"/>
      </w:tabs>
      <w:spacing w:line="360" w:lineRule="auto"/>
      <w:outlineLvl w:val="1"/>
    </w:pPr>
    <w:rPr>
      <w:rFonts w:cs="Times New Roman"/>
      <w:sz w:val="24"/>
      <w:lang w:val="zh-CN"/>
    </w:rPr>
  </w:style>
  <w:style w:type="paragraph" w:customStyle="1" w:styleId="275">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76">
    <w:name w:val="样式13"/>
    <w:basedOn w:val="4"/>
    <w:qFormat/>
    <w:uiPriority w:val="0"/>
    <w:pPr>
      <w:spacing w:line="348" w:lineRule="auto"/>
      <w:jc w:val="left"/>
      <w:outlineLvl w:val="9"/>
    </w:pPr>
    <w:rPr>
      <w:rFonts w:eastAsia="宋体" w:cs="Times New Roman"/>
      <w:b w:val="0"/>
      <w:bCs w:val="0"/>
      <w:sz w:val="28"/>
    </w:rPr>
  </w:style>
  <w:style w:type="paragraph" w:customStyle="1" w:styleId="277">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78">
    <w:name w:val="标题03 Char"/>
    <w:basedOn w:val="4"/>
    <w:qFormat/>
    <w:uiPriority w:val="0"/>
    <w:pPr>
      <w:numPr>
        <w:ilvl w:val="2"/>
        <w:numId w:val="10"/>
      </w:numPr>
      <w:tabs>
        <w:tab w:val="left" w:pos="482"/>
      </w:tabs>
    </w:pPr>
    <w:rPr>
      <w:rFonts w:ascii="宋体" w:hAnsi="宋体" w:eastAsia="宋体" w:cs="Times New Roman"/>
      <w:bCs w:val="0"/>
    </w:rPr>
  </w:style>
  <w:style w:type="paragraph" w:customStyle="1" w:styleId="279">
    <w:name w:val="样式10"/>
    <w:basedOn w:val="4"/>
    <w:qFormat/>
    <w:uiPriority w:val="0"/>
    <w:pPr>
      <w:spacing w:before="0" w:after="0" w:line="240" w:lineRule="auto"/>
      <w:jc w:val="left"/>
    </w:pPr>
    <w:rPr>
      <w:rFonts w:eastAsia="宋体" w:cs="Times New Roman"/>
      <w:b w:val="0"/>
      <w:bCs w:val="0"/>
      <w:sz w:val="28"/>
    </w:rPr>
  </w:style>
  <w:style w:type="paragraph" w:customStyle="1" w:styleId="280">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81">
    <w:name w:val="标准文件_数字列项"/>
    <w:next w:val="87"/>
    <w:qFormat/>
    <w:uiPriority w:val="0"/>
    <w:pPr>
      <w:numPr>
        <w:ilvl w:val="0"/>
        <w:numId w:val="15"/>
      </w:numPr>
      <w:spacing w:line="420" w:lineRule="atLeast"/>
    </w:pPr>
    <w:rPr>
      <w:rFonts w:ascii="Times New Roman" w:hAnsi="Times New Roman" w:eastAsia="宋体" w:cs="Times New Roman"/>
      <w:kern w:val="2"/>
      <w:sz w:val="24"/>
      <w:szCs w:val="21"/>
      <w:lang w:val="en-US" w:eastAsia="zh-CN" w:bidi="ar-SA"/>
    </w:rPr>
  </w:style>
  <w:style w:type="paragraph" w:customStyle="1" w:styleId="282">
    <w:name w:val="样式14"/>
    <w:basedOn w:val="4"/>
    <w:qFormat/>
    <w:uiPriority w:val="0"/>
    <w:pPr>
      <w:spacing w:before="0" w:after="0" w:line="240" w:lineRule="auto"/>
      <w:jc w:val="left"/>
    </w:pPr>
    <w:rPr>
      <w:rFonts w:eastAsia="宋体" w:cs="Times New Roman"/>
      <w:b w:val="0"/>
      <w:bCs w:val="0"/>
      <w:sz w:val="28"/>
    </w:rPr>
  </w:style>
  <w:style w:type="paragraph" w:customStyle="1" w:styleId="283">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84">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5">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6">
    <w:name w:val="标题04"/>
    <w:basedOn w:val="5"/>
    <w:qFormat/>
    <w:uiPriority w:val="0"/>
    <w:pPr>
      <w:numPr>
        <w:ilvl w:val="3"/>
        <w:numId w:val="10"/>
      </w:numPr>
      <w:tabs>
        <w:tab w:val="left" w:pos="851"/>
        <w:tab w:val="clear" w:pos="2214"/>
        <w:tab w:val="clear" w:pos="864"/>
      </w:tabs>
      <w:autoSpaceDE w:val="0"/>
      <w:autoSpaceDN w:val="0"/>
      <w:spacing w:before="0" w:beforeLines="50" w:after="0" w:afterLines="50"/>
      <w:ind w:left="851" w:right="238" w:hanging="851"/>
    </w:pPr>
    <w:rPr>
      <w:rFonts w:ascii="Cambria" w:hAnsi="Cambria" w:eastAsia="宋体"/>
      <w:b/>
      <w:bCs w:val="0"/>
      <w:snapToGrid/>
      <w:sz w:val="30"/>
    </w:rPr>
  </w:style>
  <w:style w:type="paragraph" w:customStyle="1" w:styleId="287">
    <w:name w:val="样式18"/>
    <w:basedOn w:val="2"/>
    <w:next w:val="17"/>
    <w:qFormat/>
    <w:uiPriority w:val="0"/>
    <w:pPr>
      <w:keepLines/>
      <w:pageBreakBefore/>
      <w:jc w:val="left"/>
    </w:pPr>
    <w:rPr>
      <w:rFonts w:ascii="仿宋_GB2312" w:eastAsia="仿宋_GB2312"/>
      <w:b/>
      <w:bCs/>
      <w:color w:val="0000FF"/>
      <w:kern w:val="44"/>
      <w:szCs w:val="28"/>
    </w:rPr>
  </w:style>
  <w:style w:type="paragraph" w:customStyle="1" w:styleId="288">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9">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90">
    <w:name w:val="标准文件_表格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91">
    <w:name w:val="3级标题"/>
    <w:basedOn w:val="1"/>
    <w:qFormat/>
    <w:uiPriority w:val="0"/>
    <w:pPr>
      <w:tabs>
        <w:tab w:val="left" w:pos="839"/>
      </w:tabs>
      <w:adjustRightInd w:val="0"/>
      <w:snapToGrid w:val="0"/>
      <w:spacing w:line="360" w:lineRule="auto"/>
      <w:textAlignment w:val="baseline"/>
    </w:pPr>
    <w:rPr>
      <w:rFonts w:ascii="宋体" w:hAnsi="宋体" w:eastAsia="宋体" w:cs="Times New Roman"/>
      <w:snapToGrid w:val="0"/>
      <w:spacing w:val="16"/>
      <w:kern w:val="0"/>
      <w:sz w:val="28"/>
      <w:szCs w:val="20"/>
    </w:rPr>
  </w:style>
  <w:style w:type="paragraph" w:customStyle="1" w:styleId="292">
    <w:name w:val="标题02"/>
    <w:basedOn w:val="3"/>
    <w:qFormat/>
    <w:uiPriority w:val="0"/>
    <w:pPr>
      <w:numPr>
        <w:ilvl w:val="1"/>
        <w:numId w:val="10"/>
      </w:numPr>
    </w:pPr>
    <w:rPr>
      <w:rFonts w:ascii="宋体" w:hAnsi="Cambria" w:eastAsia="宋体"/>
      <w:bCs w:val="0"/>
      <w:sz w:val="30"/>
    </w:rPr>
  </w:style>
  <w:style w:type="paragraph" w:customStyle="1" w:styleId="293">
    <w:name w:val="样式21"/>
    <w:basedOn w:val="4"/>
    <w:next w:val="17"/>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94">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95">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96">
    <w:name w:val="封面"/>
    <w:basedOn w:val="2"/>
    <w:next w:val="1"/>
    <w:qFormat/>
    <w:uiPriority w:val="0"/>
    <w:pPr>
      <w:keepNext w:val="0"/>
      <w:pageBreakBefore/>
      <w:adjustRightInd w:val="0"/>
      <w:snapToGrid w:val="0"/>
      <w:spacing w:after="330" w:afterLines="50" w:line="348" w:lineRule="auto"/>
      <w:jc w:val="left"/>
    </w:pPr>
    <w:rPr>
      <w:rFonts w:ascii="仿宋_GB2312" w:eastAsia="仿宋_GB2312"/>
      <w:snapToGrid w:val="0"/>
      <w:color w:val="0000FF"/>
      <w:szCs w:val="28"/>
    </w:rPr>
  </w:style>
  <w:style w:type="paragraph" w:customStyle="1" w:styleId="297">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98">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99">
    <w:name w:val="标准文件_二级条标题"/>
    <w:next w:val="87"/>
    <w:qFormat/>
    <w:uiPriority w:val="0"/>
    <w:pPr>
      <w:numPr>
        <w:ilvl w:val="3"/>
        <w:numId w:val="7"/>
      </w:numPr>
      <w:spacing w:beforeLines="50" w:afterLines="50"/>
      <w:outlineLvl w:val="3"/>
    </w:pPr>
    <w:rPr>
      <w:rFonts w:ascii="Times New Roman" w:hAnsi="Times New Roman" w:eastAsia="黑体" w:cs="Times New Roman"/>
      <w:kern w:val="2"/>
      <w:sz w:val="28"/>
      <w:szCs w:val="21"/>
      <w:lang w:val="en-US" w:eastAsia="zh-CN" w:bidi="ar-SA"/>
    </w:rPr>
  </w:style>
  <w:style w:type="paragraph" w:customStyle="1" w:styleId="300">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301">
    <w:name w:val="标准文件_表格首行"/>
    <w:next w:val="302"/>
    <w:qFormat/>
    <w:uiPriority w:val="0"/>
    <w:pPr>
      <w:jc w:val="center"/>
    </w:pPr>
    <w:rPr>
      <w:rFonts w:ascii="Times New Roman" w:hAnsi="Times New Roman" w:eastAsia="黑体" w:cs="Times New Roman"/>
      <w:kern w:val="2"/>
      <w:sz w:val="21"/>
      <w:szCs w:val="21"/>
      <w:lang w:val="en-US" w:eastAsia="zh-CN" w:bidi="ar-SA"/>
    </w:rPr>
  </w:style>
  <w:style w:type="paragraph" w:customStyle="1" w:styleId="302">
    <w:name w:val="标准文件_表格内容"/>
    <w:basedOn w:val="1"/>
    <w:next w:val="87"/>
    <w:qFormat/>
    <w:uiPriority w:val="0"/>
    <w:pPr>
      <w:jc w:val="left"/>
    </w:pPr>
    <w:rPr>
      <w:rFonts w:eastAsia="宋体" w:cs="Times New Roman"/>
    </w:rPr>
  </w:style>
  <w:style w:type="paragraph" w:customStyle="1" w:styleId="303">
    <w:name w:val="样式4"/>
    <w:basedOn w:val="3"/>
    <w:qFormat/>
    <w:uiPriority w:val="0"/>
    <w:pPr>
      <w:spacing w:before="0" w:after="0" w:line="348" w:lineRule="auto"/>
    </w:pPr>
    <w:rPr>
      <w:rFonts w:ascii="Times New Roman" w:hAnsi="Times New Roman" w:eastAsia="宋体"/>
      <w:b w:val="0"/>
      <w:bCs w:val="0"/>
      <w:sz w:val="28"/>
    </w:rPr>
  </w:style>
  <w:style w:type="paragraph" w:customStyle="1" w:styleId="304">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5">
    <w:name w:val="样式5"/>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306">
    <w:name w:val="样式7"/>
    <w:basedOn w:val="2"/>
    <w:qFormat/>
    <w:uiPriority w:val="0"/>
    <w:pPr>
      <w:keepLines/>
      <w:pageBreakBefore/>
      <w:jc w:val="left"/>
    </w:pPr>
    <w:rPr>
      <w:rFonts w:ascii="仿宋_GB2312" w:eastAsia="仿宋_GB2312"/>
      <w:b/>
      <w:bCs/>
      <w:color w:val="0000FF"/>
      <w:kern w:val="44"/>
      <w:szCs w:val="28"/>
    </w:rPr>
  </w:style>
  <w:style w:type="paragraph" w:customStyle="1" w:styleId="307">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308">
    <w:name w:val="样式8"/>
    <w:basedOn w:val="3"/>
    <w:qFormat/>
    <w:uiPriority w:val="0"/>
    <w:pPr>
      <w:spacing w:before="0" w:after="0" w:line="240" w:lineRule="auto"/>
      <w:jc w:val="left"/>
    </w:pPr>
    <w:rPr>
      <w:rFonts w:ascii="Times New Roman" w:hAnsi="Times New Roman" w:eastAsia="宋体"/>
      <w:b w:val="0"/>
      <w:bCs w:val="0"/>
      <w:sz w:val="28"/>
    </w:rPr>
  </w:style>
  <w:style w:type="paragraph" w:customStyle="1" w:styleId="309">
    <w:name w:val="标准文件_一级条标题"/>
    <w:next w:val="87"/>
    <w:qFormat/>
    <w:uiPriority w:val="0"/>
    <w:pPr>
      <w:numPr>
        <w:ilvl w:val="2"/>
        <w:numId w:val="7"/>
      </w:numPr>
      <w:spacing w:beforeLines="50" w:afterLines="50"/>
      <w:outlineLvl w:val="2"/>
    </w:pPr>
    <w:rPr>
      <w:rFonts w:ascii="Times New Roman" w:hAnsi="Times New Roman" w:eastAsia="黑体" w:cs="Times New Roman"/>
      <w:kern w:val="2"/>
      <w:sz w:val="28"/>
      <w:szCs w:val="21"/>
      <w:lang w:val="en-US" w:eastAsia="zh-CN" w:bidi="ar-SA"/>
    </w:rPr>
  </w:style>
  <w:style w:type="paragraph" w:customStyle="1" w:styleId="310">
    <w:name w:val="样式11"/>
    <w:basedOn w:val="4"/>
    <w:qFormat/>
    <w:uiPriority w:val="0"/>
    <w:pPr>
      <w:spacing w:before="0" w:after="0" w:line="240" w:lineRule="auto"/>
      <w:jc w:val="left"/>
    </w:pPr>
    <w:rPr>
      <w:rFonts w:eastAsia="宋体" w:cs="Times New Roman"/>
      <w:b w:val="0"/>
      <w:bCs w:val="0"/>
      <w:sz w:val="28"/>
    </w:rPr>
  </w:style>
  <w:style w:type="paragraph" w:customStyle="1" w:styleId="311">
    <w:name w:val="标准文件_四级条标题"/>
    <w:next w:val="87"/>
    <w:qFormat/>
    <w:uiPriority w:val="0"/>
    <w:pPr>
      <w:numPr>
        <w:ilvl w:val="5"/>
        <w:numId w:val="7"/>
      </w:numPr>
      <w:spacing w:beforeLines="50" w:afterLines="50"/>
      <w:outlineLvl w:val="5"/>
    </w:pPr>
    <w:rPr>
      <w:rFonts w:ascii="Times New Roman" w:hAnsi="Times New Roman" w:eastAsia="黑体" w:cs="Times New Roman"/>
      <w:kern w:val="2"/>
      <w:sz w:val="28"/>
      <w:szCs w:val="21"/>
      <w:lang w:val="en-US" w:eastAsia="zh-CN" w:bidi="ar-SA"/>
    </w:rPr>
  </w:style>
  <w:style w:type="paragraph" w:customStyle="1" w:styleId="312">
    <w:name w:val="样式15"/>
    <w:basedOn w:val="3"/>
    <w:qFormat/>
    <w:uiPriority w:val="0"/>
    <w:pPr>
      <w:spacing w:before="0" w:after="0" w:line="240" w:lineRule="auto"/>
      <w:jc w:val="left"/>
    </w:pPr>
    <w:rPr>
      <w:rFonts w:ascii="Times New Roman" w:hAnsi="Times New Roman" w:eastAsia="宋体"/>
      <w:b w:val="0"/>
      <w:bCs w:val="0"/>
      <w:sz w:val="28"/>
    </w:rPr>
  </w:style>
  <w:style w:type="paragraph" w:customStyle="1" w:styleId="313">
    <w:name w:val="样式19"/>
    <w:basedOn w:val="3"/>
    <w:next w:val="17"/>
    <w:qFormat/>
    <w:uiPriority w:val="0"/>
    <w:pPr>
      <w:spacing w:before="0" w:after="0" w:line="240" w:lineRule="auto"/>
      <w:jc w:val="left"/>
    </w:pPr>
    <w:rPr>
      <w:rFonts w:ascii="Times New Roman" w:hAnsi="Times New Roman" w:eastAsia="宋体"/>
      <w:b w:val="0"/>
      <w:bCs w:val="0"/>
      <w:sz w:val="28"/>
    </w:rPr>
  </w:style>
  <w:style w:type="paragraph" w:customStyle="1" w:styleId="314">
    <w:name w:val="标准文件_五级条标题"/>
    <w:next w:val="87"/>
    <w:qFormat/>
    <w:uiPriority w:val="0"/>
    <w:pPr>
      <w:numPr>
        <w:ilvl w:val="6"/>
        <w:numId w:val="7"/>
      </w:numPr>
      <w:spacing w:beforeLines="50" w:afterLines="50"/>
      <w:outlineLvl w:val="6"/>
    </w:pPr>
    <w:rPr>
      <w:rFonts w:ascii="Times New Roman" w:hAnsi="Times New Roman" w:eastAsia="黑体" w:cs="Times New Roman"/>
      <w:kern w:val="2"/>
      <w:sz w:val="28"/>
      <w:szCs w:val="21"/>
      <w:lang w:val="en-US" w:eastAsia="zh-CN" w:bidi="ar-SA"/>
    </w:rPr>
  </w:style>
  <w:style w:type="paragraph" w:customStyle="1" w:styleId="315">
    <w:name w:val="样式22"/>
    <w:basedOn w:val="3"/>
    <w:qFormat/>
    <w:uiPriority w:val="0"/>
    <w:pPr>
      <w:snapToGrid w:val="0"/>
      <w:spacing w:before="0" w:after="0" w:line="240" w:lineRule="auto"/>
    </w:pPr>
    <w:rPr>
      <w:sz w:val="28"/>
      <w:szCs w:val="28"/>
    </w:rPr>
  </w:style>
  <w:style w:type="paragraph" w:customStyle="1" w:styleId="316">
    <w:name w:val="_Style 312"/>
    <w:semiHidden/>
    <w:qFormat/>
    <w:uiPriority w:val="99"/>
    <w:rPr>
      <w:rFonts w:ascii="Times New Roman" w:hAnsi="Times New Roman" w:eastAsia="MS Gothic" w:cs="MS Gothic"/>
      <w:kern w:val="2"/>
      <w:sz w:val="21"/>
      <w:szCs w:val="21"/>
      <w:lang w:val="en-US" w:eastAsia="zh-CN" w:bidi="ar-SA"/>
    </w:rPr>
  </w:style>
  <w:style w:type="paragraph" w:customStyle="1" w:styleId="317">
    <w:name w:val="正文标题"/>
    <w:basedOn w:val="1"/>
    <w:qFormat/>
    <w:uiPriority w:val="0"/>
    <w:pPr>
      <w:snapToGrid w:val="0"/>
      <w:spacing w:line="348" w:lineRule="auto"/>
    </w:pPr>
    <w:rPr>
      <w:rFonts w:eastAsia="宋体" w:cs="Times New Roman"/>
      <w:b/>
      <w:sz w:val="28"/>
      <w:szCs w:val="20"/>
    </w:rPr>
  </w:style>
  <w:style w:type="paragraph" w:customStyle="1" w:styleId="318">
    <w:name w:val="标准文件_脚注尾注"/>
    <w:basedOn w:val="87"/>
    <w:qFormat/>
    <w:uiPriority w:val="0"/>
    <w:pPr>
      <w:spacing w:line="240" w:lineRule="auto"/>
      <w:ind w:left="150" w:hanging="150" w:hangingChars="150"/>
    </w:pPr>
    <w:rPr>
      <w:sz w:val="18"/>
    </w:rPr>
  </w:style>
  <w:style w:type="paragraph" w:customStyle="1" w:styleId="319">
    <w:name w:val="标题1 5#"/>
    <w:basedOn w:val="94"/>
    <w:next w:val="94"/>
    <w:qFormat/>
    <w:uiPriority w:val="0"/>
    <w:pPr>
      <w:numPr>
        <w:ilvl w:val="0"/>
        <w:numId w:val="6"/>
      </w:numPr>
      <w:tabs>
        <w:tab w:val="left" w:pos="360"/>
        <w:tab w:val="clear" w:pos="340"/>
      </w:tabs>
      <w:spacing w:beforeLines="50" w:afterLines="50"/>
      <w:ind w:left="360" w:hanging="360" w:firstLineChars="0"/>
      <w:outlineLvl w:val="0"/>
    </w:pPr>
    <w:rPr>
      <w:rFonts w:ascii="Arial" w:hAnsi="Arial" w:eastAsia="黑体"/>
    </w:rPr>
  </w:style>
  <w:style w:type="paragraph" w:customStyle="1" w:styleId="320">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21">
    <w:name w:val="标题1"/>
    <w:basedOn w:val="1"/>
    <w:qFormat/>
    <w:uiPriority w:val="0"/>
    <w:pPr>
      <w:spacing w:line="348" w:lineRule="auto"/>
    </w:pPr>
    <w:rPr>
      <w:rFonts w:ascii="宋体" w:hAnsi="宋体" w:eastAsia="宋体" w:cs="Times New Roman"/>
      <w:color w:val="000000"/>
      <w:sz w:val="28"/>
      <w:szCs w:val="28"/>
    </w:rPr>
  </w:style>
  <w:style w:type="paragraph" w:customStyle="1" w:styleId="322">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23">
    <w:name w:val="标准文件_三级条标题"/>
    <w:next w:val="87"/>
    <w:qFormat/>
    <w:uiPriority w:val="0"/>
    <w:pPr>
      <w:numPr>
        <w:ilvl w:val="4"/>
        <w:numId w:val="7"/>
      </w:numPr>
      <w:spacing w:beforeLines="50" w:afterLines="50"/>
      <w:outlineLvl w:val="4"/>
    </w:pPr>
    <w:rPr>
      <w:rFonts w:ascii="Times New Roman" w:hAnsi="Times New Roman" w:eastAsia="黑体" w:cs="Times New Roman"/>
      <w:kern w:val="2"/>
      <w:sz w:val="28"/>
      <w:szCs w:val="21"/>
      <w:lang w:val="en-US" w:eastAsia="zh-CN" w:bidi="ar-SA"/>
    </w:rPr>
  </w:style>
  <w:style w:type="paragraph" w:customStyle="1" w:styleId="324">
    <w:name w:val="列出段落1"/>
    <w:basedOn w:val="1"/>
    <w:qFormat/>
    <w:uiPriority w:val="34"/>
    <w:pPr>
      <w:ind w:firstLine="420" w:firstLineChars="200"/>
    </w:pPr>
    <w:rPr>
      <w:rFonts w:eastAsia="宋体" w:cs="Times New Roman"/>
      <w:szCs w:val="24"/>
    </w:rPr>
  </w:style>
  <w:style w:type="paragraph" w:customStyle="1" w:styleId="325">
    <w:name w:val="contentartic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6">
    <w:name w:val="正文表标题"/>
    <w:next w:val="1"/>
    <w:qFormat/>
    <w:uiPriority w:val="0"/>
    <w:pPr>
      <w:numPr>
        <w:ilvl w:val="0"/>
        <w:numId w:val="16"/>
      </w:numPr>
      <w:spacing w:line="460" w:lineRule="exact"/>
      <w:jc w:val="center"/>
    </w:pPr>
    <w:rPr>
      <w:rFonts w:ascii="黑体" w:hAnsi="Calibri" w:eastAsia="黑体" w:cs="Calibri"/>
      <w:sz w:val="28"/>
      <w:lang w:val="en-US" w:eastAsia="zh-CN" w:bidi="ar-SA"/>
    </w:rPr>
  </w:style>
  <w:style w:type="paragraph" w:customStyle="1" w:styleId="327">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28">
    <w:name w:val="标准文件_符号列项"/>
    <w:next w:val="87"/>
    <w:qFormat/>
    <w:uiPriority w:val="0"/>
    <w:pPr>
      <w:numPr>
        <w:ilvl w:val="0"/>
        <w:numId w:val="17"/>
      </w:numPr>
      <w:spacing w:line="420" w:lineRule="atLeast"/>
    </w:pPr>
    <w:rPr>
      <w:rFonts w:ascii="Times New Roman" w:hAnsi="Times New Roman" w:eastAsia="宋体" w:cs="Times New Roman"/>
      <w:kern w:val="2"/>
      <w:sz w:val="24"/>
      <w:szCs w:val="21"/>
      <w:lang w:val="en-US" w:eastAsia="zh-CN" w:bidi="ar-SA"/>
    </w:rPr>
  </w:style>
  <w:style w:type="paragraph" w:customStyle="1" w:styleId="329">
    <w:name w:val="标准文件_单条示例"/>
    <w:qFormat/>
    <w:uiPriority w:val="0"/>
    <w:pPr>
      <w:numPr>
        <w:ilvl w:val="0"/>
        <w:numId w:val="18"/>
      </w:numPr>
    </w:pPr>
    <w:rPr>
      <w:rFonts w:ascii="Times New Roman" w:hAnsi="Times New Roman" w:eastAsia="宋体" w:cs="Times New Roman"/>
      <w:kern w:val="2"/>
      <w:sz w:val="21"/>
      <w:szCs w:val="18"/>
      <w:lang w:val="en-US" w:eastAsia="zh-CN" w:bidi="ar-SA"/>
    </w:rPr>
  </w:style>
  <w:style w:type="paragraph" w:customStyle="1" w:styleId="330">
    <w:name w:val="List Paragraph1"/>
    <w:basedOn w:val="1"/>
    <w:qFormat/>
    <w:uiPriority w:val="0"/>
    <w:pPr>
      <w:ind w:firstLine="420" w:firstLineChars="200"/>
    </w:pPr>
    <w:rPr>
      <w:rFonts w:cs="Times New Roman"/>
    </w:rPr>
  </w:style>
  <w:style w:type="table" w:customStyle="1" w:styleId="331">
    <w:name w:val="Table Normal"/>
    <w:unhideWhenUsed/>
    <w:qFormat/>
    <w:uiPriority w:val="2"/>
    <w:tblPr>
      <w:tblCellMar>
        <w:top w:w="0" w:type="dxa"/>
        <w:left w:w="0" w:type="dxa"/>
        <w:bottom w:w="0" w:type="dxa"/>
        <w:right w:w="0" w:type="dxa"/>
      </w:tblCellMar>
    </w:tblPr>
  </w:style>
  <w:style w:type="table" w:customStyle="1" w:styleId="332">
    <w:name w:val="标准文件_表格"/>
    <w:basedOn w:val="47"/>
    <w:qFormat/>
    <w:uiPriority w:val="99"/>
    <w:pPr>
      <w:jc w:val="center"/>
    </w:pPr>
    <w:rPr>
      <w:rFonts w:ascii="Calibri" w:hAnsi="Calibri"/>
      <w:kern w:val="2"/>
      <w:sz w:val="21"/>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tblStylePr w:type="firstRow">
      <w:rPr>
        <w:rFonts w:eastAsia="华文中宋"/>
        <w:sz w:val="21"/>
      </w:rPr>
      <w:tcPr>
        <w:tcBorders>
          <w:top w:val="single" w:color="auto" w:sz="8" w:space="0"/>
          <w:left w:val="single" w:color="auto" w:sz="8" w:space="0"/>
          <w:bottom w:val="single" w:color="auto" w:sz="8" w:space="0"/>
          <w:right w:val="single" w:color="auto" w:sz="8" w:space="0"/>
          <w:insideH w:val="nil"/>
          <w:insideV w:val="nil"/>
          <w:tl2br w:val="nil"/>
          <w:tr2bl w:val="nil"/>
        </w:tcBorders>
      </w:tcPr>
    </w:tblStylePr>
  </w:style>
  <w:style w:type="paragraph" w:customStyle="1" w:styleId="333">
    <w:name w:val="UserStyle_24"/>
    <w:qFormat/>
    <w:uiPriority w:val="0"/>
    <w:pPr>
      <w:textAlignment w:val="baseline"/>
    </w:pPr>
    <w:rPr>
      <w:rFonts w:ascii="宋体" w:hAnsi="宋体" w:eastAsia="宋体" w:cs="Times New Roman"/>
      <w:sz w:val="24"/>
      <w:szCs w:val="24"/>
      <w:lang w:val="en-US" w:eastAsia="zh-CN" w:bidi="ar-SA"/>
    </w:rPr>
  </w:style>
  <w:style w:type="character" w:customStyle="1" w:styleId="334">
    <w:name w:val="NormalCharacter"/>
    <w:link w:val="335"/>
    <w:semiHidden/>
    <w:qFormat/>
    <w:uiPriority w:val="0"/>
    <w:rPr>
      <w:rFonts w:ascii="Times New Roman"/>
      <w:kern w:val="2"/>
      <w:sz w:val="21"/>
      <w:szCs w:val="21"/>
    </w:rPr>
  </w:style>
  <w:style w:type="paragraph" w:customStyle="1" w:styleId="335">
    <w:name w:val="UserStyle_1"/>
    <w:basedOn w:val="1"/>
    <w:link w:val="334"/>
    <w:qFormat/>
    <w:uiPriority w:val="0"/>
    <w:pPr>
      <w:spacing w:after="160" w:line="240" w:lineRule="exact"/>
      <w:textAlignment w:val="baseline"/>
    </w:pPr>
  </w:style>
  <w:style w:type="paragraph" w:customStyle="1" w:styleId="336">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37">
    <w:name w:val="UserStyle_36"/>
    <w:basedOn w:val="1"/>
    <w:next w:val="1"/>
    <w:qFormat/>
    <w:uiPriority w:val="0"/>
    <w:pPr>
      <w:jc w:val="left"/>
      <w:textAlignment w:val="baseline"/>
    </w:pPr>
    <w:rPr>
      <w:rFonts w:ascii="宋体" w:hAnsi="宋体"/>
      <w:szCs w:val="24"/>
      <w:lang w:eastAsia="en-US"/>
    </w:rPr>
  </w:style>
  <w:style w:type="character" w:customStyle="1" w:styleId="338">
    <w:name w:val="UserStyle_15"/>
    <w:semiHidden/>
    <w:qFormat/>
    <w:uiPriority w:val="0"/>
    <w:rPr>
      <w:kern w:val="2"/>
      <w:sz w:val="21"/>
      <w:szCs w:val="24"/>
      <w:lang w:val="en-US" w:eastAsia="zh-CN" w:bidi="ar-SA"/>
    </w:rPr>
  </w:style>
  <w:style w:type="paragraph" w:customStyle="1" w:styleId="339">
    <w:name w:val="BodyText"/>
    <w:basedOn w:val="1"/>
    <w:next w:val="1"/>
    <w:qFormat/>
    <w:uiPriority w:val="0"/>
    <w:pPr>
      <w:jc w:val="left"/>
    </w:pPr>
    <w:rPr>
      <w:rFonts w:ascii="宋体" w:hAnsi="宋体"/>
      <w:lang w:eastAsia="en-US"/>
    </w:rPr>
  </w:style>
  <w:style w:type="paragraph" w:customStyle="1" w:styleId="340">
    <w:name w:val="文档正文"/>
    <w:basedOn w:val="1"/>
    <w:qFormat/>
    <w:uiPriority w:val="0"/>
    <w:pPr>
      <w:ind w:firstLine="200" w:firstLineChars="200"/>
    </w:pPr>
  </w:style>
  <w:style w:type="paragraph" w:customStyle="1" w:styleId="341">
    <w:name w:val="修订1"/>
    <w:hidden/>
    <w:unhideWhenUsed/>
    <w:qFormat/>
    <w:uiPriority w:val="99"/>
    <w:rPr>
      <w:rFonts w:ascii="Times New Roman" w:hAnsi="Times New Roman" w:eastAsia="MS Gothic" w:cs="MS Gothic"/>
      <w:kern w:val="2"/>
      <w:sz w:val="21"/>
      <w:szCs w:val="21"/>
      <w:lang w:val="en-US" w:eastAsia="zh-CN" w:bidi="ar-SA"/>
    </w:rPr>
  </w:style>
  <w:style w:type="table" w:customStyle="1" w:styleId="342">
    <w:name w:val="TableGrid"/>
    <w:qFormat/>
    <w:uiPriority w:val="0"/>
    <w:tblPr>
      <w:tblCellMar>
        <w:top w:w="0" w:type="dxa"/>
        <w:left w:w="0" w:type="dxa"/>
        <w:bottom w:w="0" w:type="dxa"/>
        <w:right w:w="0" w:type="dxa"/>
      </w:tblCellMar>
    </w:tblPr>
  </w:style>
  <w:style w:type="paragraph" w:customStyle="1" w:styleId="343">
    <w:name w:val="Revision"/>
    <w:hidden/>
    <w:unhideWhenUsed/>
    <w:qFormat/>
    <w:uiPriority w:val="99"/>
    <w:rPr>
      <w:rFonts w:ascii="Times New Roman" w:hAnsi="Times New Roman" w:eastAsia="MS Gothic" w:cs="MS Gothic"/>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434C73-8207-4B0B-99BB-918EF20CFBF4}">
  <ds:schemaRefs/>
</ds:datastoreItem>
</file>

<file path=docProps/app.xml><?xml version="1.0" encoding="utf-8"?>
<Properties xmlns="http://schemas.openxmlformats.org/officeDocument/2006/extended-properties" xmlns:vt="http://schemas.openxmlformats.org/officeDocument/2006/docPropsVTypes">
  <Template>Normal.dotm</Template>
  <Company>ansteel</Company>
  <Pages>79</Pages>
  <Words>12367</Words>
  <Characters>13212</Characters>
  <Lines>323</Lines>
  <Paragraphs>91</Paragraphs>
  <TotalTime>25</TotalTime>
  <ScaleCrop>false</ScaleCrop>
  <LinksUpToDate>false</LinksUpToDate>
  <CharactersWithSpaces>13464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2019-11-05T00:58:00Z</dcterms:created>
  <dc:creator>lf</dc:creator>
  <cp:lastModifiedBy>闹腾</cp:lastModifiedBy>
  <cp:lastPrinted>2021-08-19T01:23:00Z</cp:lastPrinted>
  <dcterms:modified xsi:type="dcterms:W3CDTF">2025-12-11T10:58:26Z</dcterms:modified>
  <dc:title>四川省国家投资工程建设项目</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B7DF489338474C48A930D518BCCD2CA0_13</vt:lpwstr>
  </property>
  <property fmtid="{D5CDD505-2E9C-101B-9397-08002B2CF9AE}" pid="4" name="KSOTemplateDocerSaveRecord">
    <vt:lpwstr>eyJoZGlkIjoiNDFkODNiOWNiZTkyYmQ2ZWQ5YTkwODFkMzQxOTU1NWUiLCJ1c2VySWQiOiIyMzQ4ODA3MjgifQ==</vt:lpwstr>
  </property>
</Properties>
</file>