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906BE" w14:textId="0F47A9C8" w:rsidR="00B358A4" w:rsidRDefault="00000000" w:rsidP="00B671BB">
      <w:pPr>
        <w:jc w:val="center"/>
        <w:rPr>
          <w:rFonts w:ascii="黑体" w:eastAsia="黑体" w:hAnsi="黑体" w:cs="黑体" w:hint="eastAsia"/>
          <w:sz w:val="44"/>
          <w:szCs w:val="44"/>
        </w:rPr>
      </w:pPr>
      <w:bookmarkStart w:id="0" w:name="_Toc28420"/>
      <w:r>
        <w:rPr>
          <w:rFonts w:ascii="黑体" w:eastAsia="黑体" w:hAnsi="黑体" w:cs="黑体" w:hint="eastAsia"/>
          <w:sz w:val="44"/>
          <w:szCs w:val="44"/>
        </w:rPr>
        <w:t>四川</w:t>
      </w:r>
      <w:proofErr w:type="gramStart"/>
      <w:r>
        <w:rPr>
          <w:rFonts w:ascii="黑体" w:eastAsia="黑体" w:hAnsi="黑体" w:cs="黑体" w:hint="eastAsia"/>
          <w:sz w:val="44"/>
          <w:szCs w:val="44"/>
        </w:rPr>
        <w:t>九洲</w:t>
      </w:r>
      <w:proofErr w:type="gramEnd"/>
      <w:r>
        <w:rPr>
          <w:rFonts w:ascii="黑体" w:eastAsia="黑体" w:hAnsi="黑体" w:cs="黑体" w:hint="eastAsia"/>
          <w:sz w:val="44"/>
          <w:szCs w:val="44"/>
        </w:rPr>
        <w:t>投资控股集团有限公司</w:t>
      </w:r>
    </w:p>
    <w:p w14:paraId="4DE47207" w14:textId="77777777" w:rsidR="00B358A4" w:rsidRDefault="00000000">
      <w:pPr>
        <w:pStyle w:val="af5"/>
        <w:spacing w:beforeLines="100" w:before="312" w:afterLines="100" w:after="312"/>
        <w:jc w:val="center"/>
        <w:rPr>
          <w:rFonts w:ascii="黑体" w:eastAsia="黑体" w:hAnsi="黑体" w:cs="黑体" w:hint="eastAsia"/>
          <w:sz w:val="44"/>
          <w:szCs w:val="44"/>
        </w:rPr>
      </w:pPr>
      <w:r>
        <w:rPr>
          <w:rFonts w:ascii="黑体" w:eastAsia="黑体" w:hAnsi="黑体" w:cs="黑体" w:hint="eastAsia"/>
          <w:sz w:val="44"/>
          <w:szCs w:val="44"/>
        </w:rPr>
        <w:t>参股管理办法</w:t>
      </w:r>
    </w:p>
    <w:p w14:paraId="4FF74990" w14:textId="73B6FFFC" w:rsidR="00B358A4" w:rsidRDefault="00000000">
      <w:pPr>
        <w:pStyle w:val="af5"/>
        <w:spacing w:beforeLines="100" w:before="312" w:afterLines="100" w:after="312"/>
        <w:jc w:val="center"/>
        <w:rPr>
          <w:rFonts w:ascii="黑体" w:eastAsia="黑体" w:hAnsi="黑体" w:cs="黑体" w:hint="eastAsia"/>
          <w:sz w:val="32"/>
          <w:szCs w:val="32"/>
        </w:rPr>
      </w:pPr>
      <w:r>
        <w:rPr>
          <w:rFonts w:ascii="黑体" w:eastAsia="黑体" w:hAnsi="黑体" w:cs="黑体" w:hint="eastAsia"/>
          <w:sz w:val="32"/>
          <w:szCs w:val="32"/>
        </w:rPr>
        <w:t>(暂行)</w:t>
      </w:r>
    </w:p>
    <w:p w14:paraId="5CCDFD0A" w14:textId="77777777" w:rsidR="00B358A4" w:rsidRDefault="00B358A4">
      <w:pPr>
        <w:pStyle w:val="af5"/>
        <w:spacing w:beforeLines="100" w:before="312" w:afterLines="100" w:after="312"/>
        <w:jc w:val="center"/>
        <w:rPr>
          <w:rFonts w:ascii="黑体" w:eastAsia="黑体" w:hAnsi="黑体" w:cs="黑体" w:hint="eastAsia"/>
          <w:sz w:val="32"/>
          <w:szCs w:val="32"/>
        </w:rPr>
      </w:pPr>
    </w:p>
    <w:p w14:paraId="65715FC4" w14:textId="77777777" w:rsidR="00B358A4" w:rsidRDefault="00B358A4">
      <w:pPr>
        <w:pStyle w:val="af5"/>
        <w:spacing w:beforeLines="100" w:before="312" w:afterLines="100" w:after="312"/>
        <w:jc w:val="center"/>
        <w:rPr>
          <w:rFonts w:ascii="黑体" w:eastAsia="黑体" w:hAnsi="黑体" w:cs="黑体" w:hint="eastAsia"/>
          <w:sz w:val="32"/>
          <w:szCs w:val="32"/>
        </w:rPr>
      </w:pPr>
    </w:p>
    <w:p w14:paraId="4973DB10" w14:textId="77777777" w:rsidR="00B358A4" w:rsidRDefault="00B358A4">
      <w:pPr>
        <w:pStyle w:val="af5"/>
        <w:spacing w:beforeLines="100" w:before="312" w:afterLines="100" w:after="312"/>
        <w:jc w:val="center"/>
        <w:rPr>
          <w:rFonts w:ascii="黑体" w:eastAsia="黑体" w:hAnsi="黑体" w:cs="黑体" w:hint="eastAsia"/>
          <w:sz w:val="32"/>
          <w:szCs w:val="32"/>
        </w:rPr>
      </w:pPr>
    </w:p>
    <w:p w14:paraId="7CA7CE20" w14:textId="77777777" w:rsidR="00B358A4" w:rsidRDefault="00B358A4">
      <w:pPr>
        <w:pStyle w:val="af5"/>
        <w:spacing w:beforeLines="100" w:before="312" w:afterLines="100" w:after="312"/>
        <w:jc w:val="center"/>
        <w:rPr>
          <w:rFonts w:ascii="黑体" w:eastAsia="黑体" w:hAnsi="黑体" w:cs="黑体" w:hint="eastAsia"/>
          <w:sz w:val="32"/>
          <w:szCs w:val="32"/>
        </w:rPr>
      </w:pPr>
    </w:p>
    <w:p w14:paraId="6F786B50" w14:textId="77777777" w:rsidR="00B358A4" w:rsidRDefault="00B358A4">
      <w:pPr>
        <w:pStyle w:val="af5"/>
        <w:spacing w:beforeLines="100" w:before="312" w:afterLines="100" w:after="312"/>
        <w:jc w:val="center"/>
        <w:rPr>
          <w:rFonts w:ascii="黑体" w:eastAsia="黑体" w:hAnsi="黑体" w:cs="黑体" w:hint="eastAsia"/>
          <w:sz w:val="32"/>
          <w:szCs w:val="32"/>
        </w:rPr>
      </w:pPr>
    </w:p>
    <w:p w14:paraId="79B9BC58" w14:textId="77777777" w:rsidR="00B358A4" w:rsidRDefault="00B358A4">
      <w:pPr>
        <w:pStyle w:val="af5"/>
        <w:spacing w:beforeLines="100" w:before="312" w:afterLines="100" w:after="312"/>
        <w:jc w:val="center"/>
        <w:rPr>
          <w:rFonts w:ascii="黑体" w:eastAsia="黑体" w:hAnsi="黑体" w:cs="黑体"/>
          <w:sz w:val="32"/>
          <w:szCs w:val="32"/>
        </w:rPr>
      </w:pPr>
    </w:p>
    <w:p w14:paraId="3D128C7C" w14:textId="77777777" w:rsidR="00B671BB" w:rsidRDefault="00B671BB">
      <w:pPr>
        <w:pStyle w:val="af5"/>
        <w:spacing w:beforeLines="100" w:before="312" w:afterLines="100" w:after="312"/>
        <w:jc w:val="center"/>
        <w:rPr>
          <w:rFonts w:ascii="黑体" w:eastAsia="黑体" w:hAnsi="黑体" w:cs="黑体"/>
          <w:sz w:val="32"/>
          <w:szCs w:val="32"/>
        </w:rPr>
      </w:pPr>
    </w:p>
    <w:p w14:paraId="36643476" w14:textId="77777777" w:rsidR="00B671BB" w:rsidRDefault="00B671BB">
      <w:pPr>
        <w:pStyle w:val="af5"/>
        <w:spacing w:beforeLines="100" w:before="312" w:afterLines="100" w:after="312"/>
        <w:jc w:val="center"/>
        <w:rPr>
          <w:rFonts w:ascii="黑体" w:eastAsia="黑体" w:hAnsi="黑体" w:cs="黑体" w:hint="eastAsia"/>
          <w:sz w:val="32"/>
          <w:szCs w:val="32"/>
        </w:rPr>
      </w:pPr>
    </w:p>
    <w:p w14:paraId="657B658A" w14:textId="04135D09" w:rsidR="00B358A4" w:rsidRDefault="00000000">
      <w:pPr>
        <w:pStyle w:val="af5"/>
        <w:ind w:right="280"/>
        <w:jc w:val="right"/>
        <w:rPr>
          <w:rFonts w:ascii="黑体" w:eastAsia="黑体" w:hAnsi="黑体" w:cs="黑体" w:hint="eastAsia"/>
          <w:sz w:val="28"/>
          <w:szCs w:val="28"/>
        </w:rPr>
      </w:pPr>
      <w:r>
        <w:rPr>
          <w:rFonts w:ascii="黑体" w:eastAsia="黑体" w:hAnsi="黑体" w:cs="黑体" w:hint="eastAsia"/>
          <w:sz w:val="28"/>
          <w:szCs w:val="28"/>
        </w:rPr>
        <w:t>编号：JZJT-ZB-2024-</w:t>
      </w:r>
      <w:r w:rsidR="004474D1">
        <w:rPr>
          <w:rFonts w:ascii="黑体" w:eastAsia="黑体" w:hAnsi="黑体" w:cs="黑体" w:hint="eastAsia"/>
          <w:sz w:val="28"/>
          <w:szCs w:val="28"/>
        </w:rPr>
        <w:t>0003</w:t>
      </w:r>
    </w:p>
    <w:p w14:paraId="49F35CCA" w14:textId="77777777" w:rsidR="00B358A4" w:rsidRDefault="00000000">
      <w:pPr>
        <w:pStyle w:val="af5"/>
        <w:ind w:right="280"/>
        <w:jc w:val="right"/>
        <w:rPr>
          <w:rFonts w:ascii="黑体" w:eastAsia="黑体" w:hAnsi="黑体" w:cs="黑体" w:hint="eastAsia"/>
          <w:sz w:val="28"/>
          <w:szCs w:val="28"/>
        </w:rPr>
      </w:pPr>
      <w:r>
        <w:rPr>
          <w:rFonts w:ascii="黑体" w:eastAsia="黑体" w:hAnsi="黑体" w:cs="黑体" w:hint="eastAsia"/>
          <w:sz w:val="28"/>
          <w:szCs w:val="28"/>
        </w:rPr>
        <w:t>版本号：2024（01）版</w:t>
      </w:r>
    </w:p>
    <w:p w14:paraId="183B7C50" w14:textId="77777777" w:rsidR="00B358A4" w:rsidRDefault="00000000">
      <w:pPr>
        <w:pStyle w:val="af5"/>
        <w:ind w:right="280"/>
        <w:jc w:val="right"/>
        <w:rPr>
          <w:rFonts w:ascii="黑体" w:eastAsia="黑体" w:hAnsi="黑体" w:cs="黑体" w:hint="eastAsia"/>
          <w:lang w:val="zh-CN"/>
        </w:rPr>
      </w:pPr>
      <w:r>
        <w:rPr>
          <w:rFonts w:ascii="黑体" w:eastAsia="黑体" w:hAnsi="黑体" w:cs="黑体" w:hint="eastAsia"/>
          <w:sz w:val="28"/>
          <w:szCs w:val="28"/>
        </w:rPr>
        <w:t>生效日期：2024年  月 日</w:t>
      </w:r>
    </w:p>
    <w:p w14:paraId="3D1CD51D" w14:textId="77777777" w:rsidR="00B358A4" w:rsidRDefault="00B358A4">
      <w:pPr>
        <w:widowControl/>
        <w:jc w:val="left"/>
        <w:rPr>
          <w:rFonts w:ascii="方正小标宋简体" w:eastAsia="方正小标宋简体" w:hAnsi="方正小标宋简体" w:cs="方正小标宋简体" w:hint="eastAsia"/>
          <w:b/>
          <w:bCs/>
          <w:sz w:val="32"/>
          <w:szCs w:val="32"/>
        </w:rPr>
        <w:sectPr w:rsidR="00B358A4">
          <w:footerReference w:type="default" r:id="rId9"/>
          <w:pgSz w:w="11906" w:h="16838"/>
          <w:pgMar w:top="2098" w:right="1474" w:bottom="1985" w:left="1588" w:header="851" w:footer="992" w:gutter="0"/>
          <w:pgNumType w:fmt="numberInDash" w:start="1"/>
          <w:cols w:space="720"/>
          <w:docGrid w:type="lines" w:linePitch="312"/>
        </w:sectPr>
      </w:pPr>
    </w:p>
    <w:p w14:paraId="1628A163" w14:textId="77777777" w:rsidR="00B358A4" w:rsidRDefault="00B358A4">
      <w:pPr>
        <w:widowControl/>
        <w:jc w:val="left"/>
        <w:rPr>
          <w:rFonts w:ascii="方正小标宋简体" w:eastAsia="方正小标宋简体" w:hAnsi="方正小标宋简体" w:cs="方正小标宋简体" w:hint="eastAsia"/>
          <w:sz w:val="32"/>
          <w:szCs w:val="32"/>
        </w:rPr>
      </w:pPr>
    </w:p>
    <w:p w14:paraId="2FC4235D" w14:textId="77777777" w:rsidR="00B358A4" w:rsidRDefault="00000000">
      <w:pPr>
        <w:pStyle w:val="4"/>
        <w:spacing w:before="0" w:after="0" w:line="560" w:lineRule="exact"/>
        <w:jc w:val="center"/>
        <w:rPr>
          <w:rFonts w:ascii="方正小标宋简体" w:eastAsia="方正小标宋简体" w:hAnsi="方正小标宋简体" w:cs="方正小标宋简体" w:hint="eastAsia"/>
          <w:b w:val="0"/>
          <w:bCs w:val="0"/>
          <w:sz w:val="32"/>
          <w:szCs w:val="32"/>
        </w:rPr>
      </w:pPr>
      <w:r>
        <w:rPr>
          <w:rFonts w:ascii="方正小标宋简体" w:eastAsia="方正小标宋简体" w:hAnsi="方正小标宋简体" w:cs="方正小标宋简体" w:hint="eastAsia"/>
          <w:b w:val="0"/>
          <w:bCs w:val="0"/>
          <w:sz w:val="32"/>
          <w:szCs w:val="32"/>
        </w:rPr>
        <w:t>制度履历表</w:t>
      </w:r>
    </w:p>
    <w:p w14:paraId="128D7CCE" w14:textId="77777777" w:rsidR="00B358A4" w:rsidRDefault="00B358A4">
      <w:pPr>
        <w:tabs>
          <w:tab w:val="left" w:pos="7369"/>
        </w:tabs>
        <w:ind w:firstLineChars="2900" w:firstLine="6960"/>
        <w:rPr>
          <w:rFonts w:ascii="Arial" w:eastAsia="仿宋_GB2312" w:hAnsi="Arial" w:cs="Arial"/>
          <w:sz w:val="24"/>
          <w:szCs w:val="24"/>
        </w:rPr>
      </w:pPr>
    </w:p>
    <w:tbl>
      <w:tblPr>
        <w:tblW w:w="8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2611"/>
        <w:gridCol w:w="878"/>
        <w:gridCol w:w="823"/>
        <w:gridCol w:w="2552"/>
      </w:tblGrid>
      <w:tr w:rsidR="00B358A4" w14:paraId="1B19C463" w14:textId="77777777">
        <w:trPr>
          <w:trHeight w:val="520"/>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58F9B264" w14:textId="77777777" w:rsidR="00B358A4" w:rsidRDefault="00000000">
            <w:pPr>
              <w:jc w:val="center"/>
              <w:rPr>
                <w:rFonts w:ascii="Arial" w:eastAsia="仿宋_GB2312" w:hAnsi="Arial"/>
                <w:b/>
                <w:szCs w:val="21"/>
              </w:rPr>
            </w:pPr>
            <w:r>
              <w:rPr>
                <w:rFonts w:ascii="Arial" w:eastAsia="仿宋_GB2312" w:hAnsi="Arial"/>
                <w:b/>
                <w:szCs w:val="21"/>
              </w:rPr>
              <w:t>制度名称</w:t>
            </w:r>
          </w:p>
        </w:tc>
        <w:tc>
          <w:tcPr>
            <w:tcW w:w="6864" w:type="dxa"/>
            <w:gridSpan w:val="4"/>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7E3D9212" w14:textId="77777777" w:rsidR="00B358A4" w:rsidRPr="00C13DF4" w:rsidRDefault="00000000" w:rsidP="00C13DF4">
            <w:pPr>
              <w:jc w:val="left"/>
              <w:rPr>
                <w:rFonts w:ascii="Arial" w:eastAsia="仿宋_GB2312" w:hAnsi="Arial"/>
                <w:bCs/>
                <w:szCs w:val="21"/>
              </w:rPr>
            </w:pPr>
            <w:r w:rsidRPr="00C13DF4">
              <w:rPr>
                <w:rFonts w:ascii="仿宋_GB2312" w:eastAsia="仿宋_GB2312" w:hAnsi="Arial" w:cs="仿宋_GB2312"/>
                <w:bCs/>
                <w:szCs w:val="21"/>
                <w:lang w:bidi="ar"/>
              </w:rPr>
              <w:t>四川</w:t>
            </w:r>
            <w:proofErr w:type="gramStart"/>
            <w:r w:rsidRPr="00C13DF4">
              <w:rPr>
                <w:rFonts w:ascii="仿宋_GB2312" w:eastAsia="仿宋_GB2312" w:hAnsi="Arial" w:cs="仿宋_GB2312"/>
                <w:bCs/>
                <w:szCs w:val="21"/>
                <w:lang w:bidi="ar"/>
              </w:rPr>
              <w:t>九洲</w:t>
            </w:r>
            <w:proofErr w:type="gramEnd"/>
            <w:r w:rsidRPr="00C13DF4">
              <w:rPr>
                <w:rFonts w:ascii="仿宋_GB2312" w:eastAsia="仿宋_GB2312" w:hAnsi="Arial" w:cs="仿宋_GB2312"/>
                <w:bCs/>
                <w:szCs w:val="21"/>
                <w:lang w:bidi="ar"/>
              </w:rPr>
              <w:t>投资控股集团有限公司参股管理办法（暂行）</w:t>
            </w:r>
          </w:p>
        </w:tc>
      </w:tr>
      <w:tr w:rsidR="00B358A4" w14:paraId="306AB9E3" w14:textId="77777777">
        <w:trPr>
          <w:trHeight w:val="510"/>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468FC994" w14:textId="77777777" w:rsidR="00B358A4" w:rsidRDefault="00000000">
            <w:pPr>
              <w:jc w:val="center"/>
              <w:rPr>
                <w:rFonts w:ascii="Arial" w:eastAsia="仿宋_GB2312" w:hAnsi="Arial"/>
                <w:b/>
                <w:szCs w:val="21"/>
              </w:rPr>
            </w:pPr>
            <w:r>
              <w:rPr>
                <w:rFonts w:ascii="Arial" w:eastAsia="仿宋_GB2312" w:hAnsi="Arial" w:hint="eastAsia"/>
                <w:b/>
                <w:szCs w:val="21"/>
              </w:rPr>
              <w:t>关键词</w:t>
            </w:r>
          </w:p>
        </w:tc>
        <w:tc>
          <w:tcPr>
            <w:tcW w:w="6864" w:type="dxa"/>
            <w:gridSpan w:val="4"/>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153514C6" w14:textId="77777777" w:rsidR="00B358A4" w:rsidRDefault="00000000">
            <w:pPr>
              <w:rPr>
                <w:rFonts w:ascii="Arial" w:eastAsia="仿宋_GB2312" w:hAnsi="Arial"/>
                <w:b/>
                <w:szCs w:val="21"/>
              </w:rPr>
            </w:pPr>
            <w:r>
              <w:rPr>
                <w:rFonts w:ascii="Arial" w:eastAsia="仿宋_GB2312" w:hAnsi="Arial" w:hint="eastAsia"/>
                <w:szCs w:val="21"/>
              </w:rPr>
              <w:t>参股</w:t>
            </w:r>
            <w:r>
              <w:rPr>
                <w:rFonts w:ascii="Arial" w:eastAsia="仿宋_GB2312" w:hAnsi="Arial"/>
                <w:szCs w:val="21"/>
              </w:rPr>
              <w:t>管理</w:t>
            </w:r>
          </w:p>
        </w:tc>
      </w:tr>
      <w:tr w:rsidR="00B358A4" w14:paraId="0411A977" w14:textId="77777777">
        <w:trPr>
          <w:trHeight w:val="510"/>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0969F7A9" w14:textId="77777777" w:rsidR="00B358A4" w:rsidRDefault="00000000">
            <w:pPr>
              <w:jc w:val="center"/>
              <w:rPr>
                <w:rFonts w:ascii="Arial" w:eastAsia="仿宋_GB2312" w:hAnsi="Arial"/>
                <w:b/>
                <w:szCs w:val="21"/>
              </w:rPr>
            </w:pPr>
            <w:r>
              <w:rPr>
                <w:rFonts w:ascii="Arial" w:eastAsia="仿宋_GB2312" w:hAnsi="Arial"/>
                <w:b/>
                <w:szCs w:val="21"/>
              </w:rPr>
              <w:t>适用范围</w:t>
            </w:r>
          </w:p>
        </w:tc>
        <w:tc>
          <w:tcPr>
            <w:tcW w:w="6864" w:type="dxa"/>
            <w:gridSpan w:val="4"/>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414EB8BB" w14:textId="77777777" w:rsidR="00B358A4" w:rsidRDefault="00000000">
            <w:pPr>
              <w:rPr>
                <w:rFonts w:ascii="Arial" w:eastAsia="仿宋_GB2312" w:hAnsi="Arial"/>
                <w:b/>
                <w:szCs w:val="21"/>
              </w:rPr>
            </w:pPr>
            <w:r>
              <w:rPr>
                <w:rFonts w:ascii="Arial" w:eastAsia="仿宋_GB2312" w:hAnsi="Arial" w:hint="eastAsia"/>
                <w:szCs w:val="21"/>
              </w:rPr>
              <w:t>总部以及各下属公司</w:t>
            </w:r>
          </w:p>
        </w:tc>
      </w:tr>
      <w:tr w:rsidR="00B358A4" w14:paraId="4F00942E" w14:textId="77777777">
        <w:trPr>
          <w:trHeight w:val="544"/>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349EF14E" w14:textId="77777777" w:rsidR="00B358A4" w:rsidRDefault="00000000">
            <w:pPr>
              <w:jc w:val="center"/>
              <w:rPr>
                <w:rFonts w:ascii="Arial" w:eastAsia="仿宋_GB2312" w:hAnsi="Arial"/>
                <w:b/>
                <w:szCs w:val="21"/>
              </w:rPr>
            </w:pPr>
            <w:r>
              <w:rPr>
                <w:rFonts w:ascii="Arial" w:eastAsia="仿宋_GB2312" w:hAnsi="Arial"/>
                <w:b/>
                <w:szCs w:val="21"/>
              </w:rPr>
              <w:t>主</w:t>
            </w:r>
            <w:proofErr w:type="gramStart"/>
            <w:r>
              <w:rPr>
                <w:rFonts w:ascii="Arial" w:eastAsia="仿宋_GB2312" w:hAnsi="Arial"/>
                <w:b/>
                <w:szCs w:val="21"/>
              </w:rPr>
              <w:t>责部门</w:t>
            </w:r>
            <w:proofErr w:type="gramEnd"/>
          </w:p>
        </w:tc>
        <w:tc>
          <w:tcPr>
            <w:tcW w:w="2611" w:type="dxa"/>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509C0438" w14:textId="77777777" w:rsidR="00B358A4" w:rsidRDefault="00000000">
            <w:pPr>
              <w:rPr>
                <w:rFonts w:ascii="Arial" w:eastAsia="仿宋_GB2312" w:hAnsi="Arial"/>
                <w:b/>
                <w:szCs w:val="21"/>
              </w:rPr>
            </w:pPr>
            <w:r>
              <w:rPr>
                <w:rFonts w:ascii="Arial" w:eastAsia="仿宋_GB2312" w:hAnsi="Arial" w:hint="eastAsia"/>
                <w:szCs w:val="21"/>
              </w:rPr>
              <w:t>资本运营</w:t>
            </w:r>
            <w:r>
              <w:rPr>
                <w:rFonts w:ascii="Arial" w:eastAsia="仿宋_GB2312" w:hAnsi="Arial"/>
                <w:szCs w:val="21"/>
              </w:rPr>
              <w:t>部</w:t>
            </w:r>
          </w:p>
        </w:tc>
        <w:tc>
          <w:tcPr>
            <w:tcW w:w="1701"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0C5AABBE" w14:textId="77777777" w:rsidR="00B358A4" w:rsidRDefault="00000000">
            <w:pPr>
              <w:jc w:val="center"/>
              <w:rPr>
                <w:rFonts w:ascii="Arial" w:eastAsia="仿宋_GB2312" w:hAnsi="Arial"/>
                <w:b/>
                <w:szCs w:val="21"/>
              </w:rPr>
            </w:pPr>
            <w:r>
              <w:rPr>
                <w:rFonts w:ascii="Arial" w:eastAsia="仿宋_GB2312" w:hAnsi="Arial"/>
                <w:b/>
                <w:szCs w:val="21"/>
              </w:rPr>
              <w:t>审批机构</w:t>
            </w:r>
          </w:p>
        </w:tc>
        <w:tc>
          <w:tcPr>
            <w:tcW w:w="2552" w:type="dxa"/>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0D7B51DF" w14:textId="77777777" w:rsidR="00B358A4" w:rsidRDefault="00000000">
            <w:pPr>
              <w:rPr>
                <w:rFonts w:ascii="Arial" w:eastAsia="仿宋_GB2312" w:hAnsi="Arial"/>
                <w:b/>
                <w:szCs w:val="21"/>
              </w:rPr>
            </w:pPr>
            <w:r>
              <w:rPr>
                <w:rFonts w:ascii="Arial" w:eastAsia="仿宋_GB2312" w:hAnsi="Arial"/>
                <w:szCs w:val="21"/>
              </w:rPr>
              <w:t>董事</w:t>
            </w:r>
            <w:r>
              <w:rPr>
                <w:rFonts w:ascii="Arial" w:eastAsia="仿宋_GB2312" w:hAnsi="Arial" w:hint="eastAsia"/>
                <w:szCs w:val="21"/>
              </w:rPr>
              <w:t>会</w:t>
            </w:r>
          </w:p>
        </w:tc>
      </w:tr>
      <w:tr w:rsidR="00B358A4" w14:paraId="419934E0" w14:textId="77777777">
        <w:trPr>
          <w:trHeight w:val="545"/>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64417D14" w14:textId="77777777" w:rsidR="00B358A4" w:rsidRDefault="00000000">
            <w:pPr>
              <w:jc w:val="center"/>
              <w:rPr>
                <w:rFonts w:ascii="Arial" w:eastAsia="仿宋_GB2312" w:hAnsi="Arial"/>
                <w:b/>
                <w:szCs w:val="21"/>
              </w:rPr>
            </w:pPr>
            <w:r>
              <w:rPr>
                <w:rFonts w:ascii="Arial" w:eastAsia="仿宋_GB2312" w:hAnsi="Arial"/>
                <w:b/>
                <w:szCs w:val="21"/>
              </w:rPr>
              <w:t>制度</w:t>
            </w:r>
            <w:r>
              <w:rPr>
                <w:rFonts w:ascii="Arial" w:eastAsia="仿宋_GB2312" w:hAnsi="Arial" w:hint="eastAsia"/>
                <w:b/>
                <w:szCs w:val="21"/>
              </w:rPr>
              <w:t>类别</w:t>
            </w:r>
          </w:p>
        </w:tc>
        <w:tc>
          <w:tcPr>
            <w:tcW w:w="2611" w:type="dxa"/>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3F685656" w14:textId="77777777" w:rsidR="00B358A4" w:rsidRDefault="00000000">
            <w:pPr>
              <w:rPr>
                <w:rFonts w:ascii="Arial" w:eastAsia="仿宋_GB2312" w:hAnsi="Arial"/>
                <w:b/>
                <w:szCs w:val="21"/>
              </w:rPr>
            </w:pPr>
            <w:r>
              <w:rPr>
                <w:rFonts w:ascii="Arial" w:eastAsia="仿宋_GB2312" w:hAnsi="Arial" w:hint="eastAsia"/>
                <w:bCs/>
                <w:szCs w:val="21"/>
              </w:rPr>
              <w:t>重要</w:t>
            </w:r>
          </w:p>
        </w:tc>
        <w:tc>
          <w:tcPr>
            <w:tcW w:w="1701"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6EB90666" w14:textId="77777777" w:rsidR="00B358A4" w:rsidRDefault="00000000">
            <w:pPr>
              <w:jc w:val="center"/>
              <w:rPr>
                <w:rFonts w:ascii="Arial" w:eastAsia="仿宋_GB2312" w:hAnsi="Arial"/>
                <w:b/>
                <w:szCs w:val="21"/>
              </w:rPr>
            </w:pPr>
            <w:r>
              <w:rPr>
                <w:rFonts w:ascii="Arial" w:eastAsia="仿宋_GB2312" w:hAnsi="Arial"/>
                <w:b/>
                <w:szCs w:val="21"/>
              </w:rPr>
              <w:t>业务域</w:t>
            </w:r>
          </w:p>
          <w:p w14:paraId="20C4F491" w14:textId="27F2C73A" w:rsidR="00073C48" w:rsidRDefault="00073C48">
            <w:pPr>
              <w:jc w:val="center"/>
              <w:rPr>
                <w:rFonts w:ascii="Arial" w:eastAsia="仿宋_GB2312" w:hAnsi="Arial" w:hint="eastAsia"/>
                <w:b/>
                <w:szCs w:val="21"/>
              </w:rPr>
            </w:pPr>
            <w:r>
              <w:rPr>
                <w:rFonts w:ascii="Arial" w:eastAsia="仿宋_GB2312" w:hAnsi="Arial" w:hint="eastAsia"/>
                <w:b/>
                <w:szCs w:val="21"/>
              </w:rPr>
              <w:t>（一级）</w:t>
            </w:r>
          </w:p>
        </w:tc>
        <w:tc>
          <w:tcPr>
            <w:tcW w:w="2552" w:type="dxa"/>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3EE7118D" w14:textId="77777777" w:rsidR="00B358A4" w:rsidRDefault="00000000">
            <w:pPr>
              <w:rPr>
                <w:rFonts w:ascii="Arial" w:eastAsia="仿宋_GB2312" w:hAnsi="Arial"/>
                <w:b/>
                <w:szCs w:val="21"/>
              </w:rPr>
            </w:pPr>
            <w:r>
              <w:rPr>
                <w:rFonts w:ascii="Arial" w:eastAsia="仿宋_GB2312" w:hAnsi="Arial" w:hint="eastAsia"/>
                <w:bCs/>
                <w:szCs w:val="21"/>
              </w:rPr>
              <w:t>投</w:t>
            </w:r>
            <w:r>
              <w:rPr>
                <w:rFonts w:ascii="Arial" w:eastAsia="仿宋_GB2312" w:hAnsi="Arial"/>
                <w:bCs/>
                <w:szCs w:val="21"/>
              </w:rPr>
              <w:t>融</w:t>
            </w:r>
            <w:r>
              <w:rPr>
                <w:rFonts w:ascii="Arial" w:eastAsia="仿宋_GB2312" w:hAnsi="Arial" w:hint="eastAsia"/>
                <w:bCs/>
                <w:szCs w:val="21"/>
              </w:rPr>
              <w:t>资管理</w:t>
            </w:r>
          </w:p>
        </w:tc>
      </w:tr>
      <w:tr w:rsidR="00B358A4" w14:paraId="38C07CD2" w14:textId="77777777">
        <w:trPr>
          <w:cantSplit/>
          <w:trHeight w:val="517"/>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2D8E495F" w14:textId="77777777" w:rsidR="00B358A4" w:rsidRDefault="00000000">
            <w:pPr>
              <w:jc w:val="center"/>
              <w:rPr>
                <w:rFonts w:ascii="Arial" w:eastAsia="仿宋_GB2312" w:hAnsi="Arial"/>
                <w:b/>
                <w:szCs w:val="21"/>
              </w:rPr>
            </w:pPr>
            <w:proofErr w:type="gramStart"/>
            <w:r>
              <w:rPr>
                <w:rFonts w:ascii="Arial" w:eastAsia="仿宋_GB2312" w:hAnsi="Arial"/>
                <w:b/>
                <w:szCs w:val="21"/>
              </w:rPr>
              <w:t>上位制度</w:t>
            </w:r>
            <w:proofErr w:type="gramEnd"/>
          </w:p>
        </w:tc>
        <w:tc>
          <w:tcPr>
            <w:tcW w:w="2611" w:type="dxa"/>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46A18CBD" w14:textId="77777777" w:rsidR="00B358A4" w:rsidRDefault="00000000">
            <w:pPr>
              <w:rPr>
                <w:rFonts w:ascii="Arial" w:eastAsia="仿宋_GB2312" w:hAnsi="Arial"/>
                <w:b/>
                <w:szCs w:val="21"/>
              </w:rPr>
            </w:pPr>
            <w:r>
              <w:rPr>
                <w:rFonts w:ascii="Arial" w:eastAsia="仿宋_GB2312" w:hAnsi="Arial" w:hint="eastAsia"/>
                <w:bCs/>
                <w:szCs w:val="21"/>
              </w:rPr>
              <w:t>无</w:t>
            </w:r>
          </w:p>
        </w:tc>
        <w:tc>
          <w:tcPr>
            <w:tcW w:w="1701"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3EA11696" w14:textId="77777777" w:rsidR="00B358A4" w:rsidRDefault="00000000">
            <w:pPr>
              <w:jc w:val="center"/>
              <w:rPr>
                <w:rFonts w:ascii="Arial" w:eastAsia="仿宋_GB2312" w:hAnsi="Arial"/>
                <w:b/>
                <w:szCs w:val="21"/>
              </w:rPr>
            </w:pPr>
            <w:proofErr w:type="gramStart"/>
            <w:r>
              <w:rPr>
                <w:rFonts w:ascii="Arial" w:eastAsia="仿宋_GB2312" w:hAnsi="Arial"/>
                <w:b/>
                <w:szCs w:val="21"/>
              </w:rPr>
              <w:t>下位制度</w:t>
            </w:r>
            <w:proofErr w:type="gramEnd"/>
          </w:p>
        </w:tc>
        <w:tc>
          <w:tcPr>
            <w:tcW w:w="2552" w:type="dxa"/>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44EC4FDC" w14:textId="77777777" w:rsidR="00B358A4" w:rsidRDefault="00000000">
            <w:pPr>
              <w:rPr>
                <w:rFonts w:ascii="Arial" w:eastAsia="仿宋_GB2312" w:hAnsi="Arial"/>
                <w:b/>
                <w:szCs w:val="21"/>
              </w:rPr>
            </w:pPr>
            <w:r>
              <w:rPr>
                <w:rFonts w:ascii="Arial" w:eastAsia="仿宋_GB2312" w:hAnsi="Arial"/>
                <w:szCs w:val="21"/>
              </w:rPr>
              <w:t>无</w:t>
            </w:r>
          </w:p>
        </w:tc>
      </w:tr>
      <w:tr w:rsidR="00B358A4" w14:paraId="0E485D74" w14:textId="77777777">
        <w:trPr>
          <w:trHeight w:val="521"/>
          <w:jc w:val="center"/>
        </w:trPr>
        <w:tc>
          <w:tcPr>
            <w:tcW w:w="1753" w:type="dxa"/>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4B814C38" w14:textId="77777777" w:rsidR="00B358A4" w:rsidRDefault="00000000">
            <w:pPr>
              <w:jc w:val="center"/>
              <w:rPr>
                <w:rFonts w:ascii="Arial" w:eastAsia="仿宋_GB2312" w:hAnsi="Arial"/>
                <w:b/>
                <w:szCs w:val="21"/>
              </w:rPr>
            </w:pPr>
            <w:r>
              <w:rPr>
                <w:rFonts w:ascii="Arial" w:eastAsia="仿宋_GB2312" w:hAnsi="Arial"/>
                <w:b/>
                <w:szCs w:val="21"/>
              </w:rPr>
              <w:t>关联制度</w:t>
            </w:r>
          </w:p>
        </w:tc>
        <w:tc>
          <w:tcPr>
            <w:tcW w:w="2611" w:type="dxa"/>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3A55E892" w14:textId="77777777" w:rsidR="00B358A4" w:rsidRDefault="00000000">
            <w:pPr>
              <w:rPr>
                <w:rFonts w:ascii="Arial" w:eastAsia="仿宋_GB2312" w:hAnsi="Arial"/>
                <w:b/>
                <w:szCs w:val="21"/>
              </w:rPr>
            </w:pPr>
            <w:r>
              <w:rPr>
                <w:rFonts w:ascii="Arial" w:eastAsia="仿宋_GB2312" w:hAnsi="Arial" w:hint="eastAsia"/>
                <w:bCs/>
                <w:szCs w:val="21"/>
              </w:rPr>
              <w:t>股权投资管理办法</w:t>
            </w:r>
          </w:p>
        </w:tc>
        <w:tc>
          <w:tcPr>
            <w:tcW w:w="1701"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0CC7F5EB" w14:textId="77777777" w:rsidR="00B358A4" w:rsidRDefault="00000000">
            <w:pPr>
              <w:jc w:val="center"/>
              <w:rPr>
                <w:rFonts w:ascii="Arial" w:eastAsia="仿宋_GB2312" w:hAnsi="Arial"/>
                <w:b/>
                <w:szCs w:val="21"/>
              </w:rPr>
            </w:pPr>
            <w:r>
              <w:rPr>
                <w:rFonts w:ascii="Arial" w:eastAsia="仿宋_GB2312" w:hAnsi="Arial"/>
                <w:b/>
                <w:szCs w:val="21"/>
              </w:rPr>
              <w:t>替代制度</w:t>
            </w:r>
          </w:p>
        </w:tc>
        <w:tc>
          <w:tcPr>
            <w:tcW w:w="2552" w:type="dxa"/>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6E31F9C8" w14:textId="77777777" w:rsidR="00B358A4" w:rsidRDefault="00000000">
            <w:pPr>
              <w:rPr>
                <w:rFonts w:ascii="Arial" w:eastAsia="仿宋_GB2312" w:hAnsi="Arial"/>
                <w:b/>
                <w:szCs w:val="21"/>
              </w:rPr>
            </w:pPr>
            <w:r>
              <w:rPr>
                <w:rFonts w:ascii="Arial" w:eastAsia="仿宋_GB2312" w:hAnsi="Arial"/>
                <w:szCs w:val="21"/>
              </w:rPr>
              <w:t>无</w:t>
            </w:r>
          </w:p>
        </w:tc>
      </w:tr>
      <w:tr w:rsidR="00B358A4" w14:paraId="0B914593" w14:textId="77777777">
        <w:trPr>
          <w:cantSplit/>
          <w:trHeight w:val="510"/>
          <w:jc w:val="center"/>
        </w:trPr>
        <w:tc>
          <w:tcPr>
            <w:tcW w:w="1753" w:type="dxa"/>
            <w:vMerge w:val="restart"/>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0935DEEB" w14:textId="77777777" w:rsidR="00B358A4" w:rsidRDefault="00000000">
            <w:pPr>
              <w:jc w:val="center"/>
              <w:rPr>
                <w:rFonts w:ascii="Arial" w:eastAsia="仿宋_GB2312" w:hAnsi="Arial"/>
                <w:b/>
                <w:szCs w:val="21"/>
              </w:rPr>
            </w:pPr>
            <w:r>
              <w:rPr>
                <w:rFonts w:ascii="Arial" w:eastAsia="仿宋_GB2312" w:hAnsi="Arial" w:hint="eastAsia"/>
                <w:b/>
                <w:szCs w:val="21"/>
              </w:rPr>
              <w:t>会签部门</w:t>
            </w:r>
          </w:p>
        </w:tc>
        <w:tc>
          <w:tcPr>
            <w:tcW w:w="3489"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72B5A48D" w14:textId="77777777" w:rsidR="00B358A4" w:rsidRDefault="00000000">
            <w:pPr>
              <w:rPr>
                <w:rFonts w:ascii="等线" w:hAnsi="等线" w:hint="eastAsia"/>
                <w:szCs w:val="21"/>
              </w:rPr>
            </w:pPr>
            <w:r>
              <w:rPr>
                <w:rFonts w:ascii="仿宋_GB2312" w:eastAsia="仿宋_GB2312" w:hAnsi="Arial"/>
              </w:rPr>
              <w:t>业务域牵头部门</w:t>
            </w: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3D76A47E" w14:textId="77777777" w:rsidR="00B358A4" w:rsidRDefault="00000000">
            <w:pPr>
              <w:rPr>
                <w:rFonts w:ascii="Arial" w:eastAsia="仿宋_GB2312" w:hAnsi="Arial"/>
                <w:bCs/>
                <w:szCs w:val="21"/>
              </w:rPr>
            </w:pPr>
            <w:r>
              <w:rPr>
                <w:rFonts w:ascii="Arial" w:eastAsia="仿宋_GB2312" w:hAnsi="Arial" w:hint="eastAsia"/>
                <w:bCs/>
                <w:szCs w:val="21"/>
              </w:rPr>
              <w:t>资本运营部</w:t>
            </w:r>
          </w:p>
        </w:tc>
      </w:tr>
      <w:tr w:rsidR="00B358A4" w14:paraId="0AEDBD95" w14:textId="77777777">
        <w:trPr>
          <w:cantSplit/>
          <w:trHeight w:val="510"/>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5F26DD09" w14:textId="77777777" w:rsidR="00B358A4" w:rsidRDefault="00B358A4">
            <w:pPr>
              <w:jc w:val="center"/>
              <w:rPr>
                <w:rStyle w:val="af3"/>
              </w:rPr>
            </w:pPr>
          </w:p>
        </w:tc>
        <w:tc>
          <w:tcPr>
            <w:tcW w:w="3489"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70FA8ACB" w14:textId="77777777" w:rsidR="00B358A4" w:rsidRDefault="00000000">
            <w:pPr>
              <w:rPr>
                <w:rFonts w:ascii="仿宋_GB2312" w:eastAsia="仿宋_GB2312" w:hAnsi="Arial"/>
              </w:rPr>
            </w:pPr>
            <w:r>
              <w:rPr>
                <w:rFonts w:ascii="仿宋_GB2312" w:eastAsia="仿宋_GB2312" w:hAnsi="Arial" w:hint="eastAsia"/>
              </w:rPr>
              <w:t>形式审核部门</w:t>
            </w: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56AB767F" w14:textId="77777777" w:rsidR="00B358A4" w:rsidRDefault="00000000">
            <w:pPr>
              <w:rPr>
                <w:rFonts w:ascii="Arial" w:eastAsia="仿宋_GB2312" w:hAnsi="Arial"/>
                <w:bCs/>
                <w:szCs w:val="21"/>
              </w:rPr>
            </w:pPr>
            <w:r>
              <w:rPr>
                <w:rFonts w:ascii="Arial" w:eastAsia="仿宋_GB2312" w:hAnsi="Arial" w:hint="eastAsia"/>
                <w:bCs/>
                <w:szCs w:val="21"/>
              </w:rPr>
              <w:t>战略发展部</w:t>
            </w:r>
          </w:p>
        </w:tc>
      </w:tr>
      <w:tr w:rsidR="00B358A4" w14:paraId="4CD0B3FE" w14:textId="77777777">
        <w:trPr>
          <w:cantSplit/>
          <w:trHeight w:val="510"/>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5D8EAFA1" w14:textId="77777777" w:rsidR="00B358A4" w:rsidRDefault="00B358A4"/>
        </w:tc>
        <w:tc>
          <w:tcPr>
            <w:tcW w:w="3489"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45F49DA9" w14:textId="77777777" w:rsidR="00B358A4" w:rsidRDefault="00000000">
            <w:pPr>
              <w:rPr>
                <w:rFonts w:ascii="Arial" w:eastAsia="仿宋_GB2312" w:hAnsi="Arial"/>
                <w:bCs/>
                <w:szCs w:val="21"/>
              </w:rPr>
            </w:pPr>
            <w:r>
              <w:rPr>
                <w:rFonts w:ascii="Arial" w:eastAsia="仿宋_GB2312" w:hAnsi="Arial" w:hint="eastAsia"/>
                <w:bCs/>
                <w:szCs w:val="21"/>
              </w:rPr>
              <w:t>合</w:t>
            </w:r>
            <w:proofErr w:type="gramStart"/>
            <w:r>
              <w:rPr>
                <w:rFonts w:ascii="Arial" w:eastAsia="仿宋_GB2312" w:hAnsi="Arial" w:hint="eastAsia"/>
                <w:bCs/>
                <w:szCs w:val="21"/>
              </w:rPr>
              <w:t>规</w:t>
            </w:r>
            <w:proofErr w:type="gramEnd"/>
            <w:r>
              <w:rPr>
                <w:rFonts w:ascii="Arial" w:eastAsia="仿宋_GB2312" w:hAnsi="Arial" w:hint="eastAsia"/>
                <w:bCs/>
                <w:szCs w:val="21"/>
              </w:rPr>
              <w:t>审核部门</w:t>
            </w: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545144FE" w14:textId="77777777" w:rsidR="00B358A4" w:rsidRDefault="00000000">
            <w:pPr>
              <w:rPr>
                <w:rFonts w:ascii="Arial" w:eastAsia="仿宋_GB2312" w:hAnsi="Arial"/>
                <w:bCs/>
                <w:szCs w:val="21"/>
              </w:rPr>
            </w:pPr>
            <w:r>
              <w:rPr>
                <w:rFonts w:ascii="Arial" w:eastAsia="仿宋_GB2312" w:hAnsi="Arial"/>
                <w:bCs/>
                <w:szCs w:val="21"/>
              </w:rPr>
              <w:t>法</w:t>
            </w:r>
            <w:proofErr w:type="gramStart"/>
            <w:r>
              <w:rPr>
                <w:rFonts w:ascii="Arial" w:eastAsia="仿宋_GB2312" w:hAnsi="Arial"/>
                <w:bCs/>
                <w:szCs w:val="21"/>
              </w:rPr>
              <w:t>务</w:t>
            </w:r>
            <w:proofErr w:type="gramEnd"/>
            <w:r>
              <w:rPr>
                <w:rFonts w:ascii="Arial" w:eastAsia="仿宋_GB2312" w:hAnsi="Arial"/>
                <w:bCs/>
                <w:szCs w:val="21"/>
              </w:rPr>
              <w:t>审计部</w:t>
            </w:r>
          </w:p>
        </w:tc>
      </w:tr>
      <w:tr w:rsidR="00B358A4" w14:paraId="5FDB9710" w14:textId="77777777">
        <w:trPr>
          <w:cantSplit/>
          <w:trHeight w:val="510"/>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7D95EA71" w14:textId="77777777" w:rsidR="00B358A4" w:rsidRDefault="00B358A4"/>
        </w:tc>
        <w:tc>
          <w:tcPr>
            <w:tcW w:w="3489"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7B4FE2B7" w14:textId="77777777" w:rsidR="00B358A4" w:rsidRDefault="00000000">
            <w:pPr>
              <w:rPr>
                <w:rFonts w:ascii="Arial" w:eastAsia="仿宋_GB2312" w:hAnsi="Arial"/>
                <w:bCs/>
                <w:szCs w:val="21"/>
              </w:rPr>
            </w:pPr>
            <w:r>
              <w:rPr>
                <w:rFonts w:ascii="Arial" w:eastAsia="仿宋_GB2312" w:hAnsi="Arial" w:hint="eastAsia"/>
                <w:bCs/>
                <w:szCs w:val="21"/>
              </w:rPr>
              <w:t>保密审核部门</w:t>
            </w: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42B97573" w14:textId="77777777" w:rsidR="00B358A4" w:rsidRDefault="00000000">
            <w:pPr>
              <w:rPr>
                <w:rFonts w:ascii="Arial" w:eastAsia="仿宋_GB2312" w:hAnsi="Arial"/>
                <w:bCs/>
                <w:szCs w:val="21"/>
              </w:rPr>
            </w:pPr>
            <w:r>
              <w:rPr>
                <w:rFonts w:ascii="Arial" w:eastAsia="仿宋_GB2312" w:hAnsi="Arial"/>
                <w:bCs/>
                <w:szCs w:val="21"/>
              </w:rPr>
              <w:t>保密管理部</w:t>
            </w:r>
          </w:p>
        </w:tc>
      </w:tr>
      <w:tr w:rsidR="00B358A4" w14:paraId="56B8E3E7" w14:textId="77777777">
        <w:trPr>
          <w:cantSplit/>
          <w:trHeight w:val="488"/>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063F3C4C" w14:textId="77777777" w:rsidR="00B358A4" w:rsidRDefault="00B358A4"/>
        </w:tc>
        <w:tc>
          <w:tcPr>
            <w:tcW w:w="3489" w:type="dxa"/>
            <w:gridSpan w:val="2"/>
            <w:vMerge w:val="restart"/>
            <w:tcBorders>
              <w:top w:val="single" w:sz="4" w:space="0" w:color="A5A5A5" w:themeColor="background1" w:themeShade="A5"/>
              <w:left w:val="single" w:sz="4" w:space="0" w:color="A5A5A5" w:themeColor="background1" w:themeShade="A5"/>
              <w:right w:val="single" w:sz="4" w:space="0" w:color="A5A5A5" w:themeColor="background1" w:themeShade="A5"/>
            </w:tcBorders>
            <w:shd w:val="clear" w:color="auto" w:fill="auto"/>
            <w:vAlign w:val="center"/>
          </w:tcPr>
          <w:p w14:paraId="42F8F046" w14:textId="77777777" w:rsidR="00B358A4" w:rsidRDefault="00000000">
            <w:pPr>
              <w:rPr>
                <w:rFonts w:ascii="Arial" w:eastAsia="仿宋_GB2312" w:hAnsi="Arial"/>
                <w:bCs/>
                <w:szCs w:val="21"/>
              </w:rPr>
            </w:pPr>
            <w:r>
              <w:rPr>
                <w:rFonts w:ascii="Arial" w:eastAsia="仿宋_GB2312" w:hAnsi="Arial" w:hint="eastAsia"/>
                <w:bCs/>
                <w:szCs w:val="21"/>
              </w:rPr>
              <w:t>业务关联部门</w:t>
            </w: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63267DE7" w14:textId="77777777" w:rsidR="00B358A4" w:rsidRDefault="00000000">
            <w:pPr>
              <w:rPr>
                <w:rFonts w:ascii="Arial" w:eastAsia="仿宋_GB2312" w:hAnsi="Arial"/>
                <w:bCs/>
                <w:szCs w:val="21"/>
              </w:rPr>
            </w:pPr>
            <w:r>
              <w:rPr>
                <w:rFonts w:ascii="Arial" w:eastAsia="仿宋_GB2312" w:hAnsi="Arial"/>
                <w:bCs/>
                <w:szCs w:val="21"/>
              </w:rPr>
              <w:t>组织人事部</w:t>
            </w:r>
          </w:p>
        </w:tc>
      </w:tr>
      <w:tr w:rsidR="00B358A4" w14:paraId="0F5530BB" w14:textId="77777777">
        <w:trPr>
          <w:cantSplit/>
          <w:trHeight w:val="488"/>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0E0BFEB8" w14:textId="77777777" w:rsidR="00B358A4" w:rsidRDefault="00B358A4"/>
        </w:tc>
        <w:tc>
          <w:tcPr>
            <w:tcW w:w="3489" w:type="dxa"/>
            <w:gridSpan w:val="2"/>
            <w:vMerge/>
            <w:tcBorders>
              <w:left w:val="single" w:sz="4" w:space="0" w:color="A5A5A5" w:themeColor="background1" w:themeShade="A5"/>
              <w:right w:val="single" w:sz="4" w:space="0" w:color="A5A5A5" w:themeColor="background1" w:themeShade="A5"/>
            </w:tcBorders>
            <w:shd w:val="clear" w:color="auto" w:fill="auto"/>
            <w:vAlign w:val="center"/>
          </w:tcPr>
          <w:p w14:paraId="7D379E99" w14:textId="77777777" w:rsidR="00B358A4" w:rsidRDefault="00B358A4">
            <w:pPr>
              <w:rPr>
                <w:rFonts w:ascii="Arial" w:eastAsia="仿宋_GB2312" w:hAnsi="Arial"/>
                <w:bCs/>
                <w:szCs w:val="21"/>
              </w:rPr>
            </w:pP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59CC57E7" w14:textId="77777777" w:rsidR="00B358A4" w:rsidRDefault="00000000">
            <w:pPr>
              <w:rPr>
                <w:rFonts w:ascii="Arial" w:eastAsia="仿宋_GB2312" w:hAnsi="Arial"/>
                <w:bCs/>
                <w:szCs w:val="21"/>
              </w:rPr>
            </w:pPr>
            <w:r>
              <w:rPr>
                <w:rFonts w:ascii="Arial" w:eastAsia="仿宋_GB2312" w:hAnsi="Arial"/>
                <w:bCs/>
                <w:szCs w:val="21"/>
              </w:rPr>
              <w:t>董事会办公室</w:t>
            </w:r>
          </w:p>
        </w:tc>
      </w:tr>
      <w:tr w:rsidR="00B358A4" w14:paraId="23E530AE" w14:textId="77777777">
        <w:trPr>
          <w:cantSplit/>
          <w:trHeight w:val="510"/>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523B3A6B" w14:textId="77777777" w:rsidR="00B358A4" w:rsidRDefault="00B358A4"/>
        </w:tc>
        <w:tc>
          <w:tcPr>
            <w:tcW w:w="3489" w:type="dxa"/>
            <w:gridSpan w:val="2"/>
            <w:vMerge/>
            <w:tcBorders>
              <w:left w:val="single" w:sz="4" w:space="0" w:color="A5A5A5" w:themeColor="background1" w:themeShade="A5"/>
              <w:right w:val="single" w:sz="4" w:space="0" w:color="A5A5A5" w:themeColor="background1" w:themeShade="A5"/>
            </w:tcBorders>
            <w:shd w:val="clear" w:color="auto" w:fill="auto"/>
            <w:vAlign w:val="center"/>
          </w:tcPr>
          <w:p w14:paraId="453CF576" w14:textId="77777777" w:rsidR="00B358A4" w:rsidRDefault="00B358A4">
            <w:pPr>
              <w:rPr>
                <w:rFonts w:ascii="Arial" w:eastAsia="仿宋_GB2312" w:hAnsi="Arial"/>
                <w:bCs/>
                <w:szCs w:val="21"/>
              </w:rPr>
            </w:pP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4EA17A7F" w14:textId="77777777" w:rsidR="00B358A4" w:rsidRDefault="00000000">
            <w:pPr>
              <w:rPr>
                <w:rFonts w:ascii="Arial" w:eastAsia="仿宋_GB2312" w:hAnsi="Arial"/>
                <w:bCs/>
                <w:szCs w:val="21"/>
              </w:rPr>
            </w:pPr>
            <w:r>
              <w:rPr>
                <w:rFonts w:ascii="Arial" w:eastAsia="仿宋_GB2312" w:hAnsi="Arial" w:hint="eastAsia"/>
                <w:bCs/>
                <w:szCs w:val="21"/>
              </w:rPr>
              <w:t>财务管理部</w:t>
            </w:r>
          </w:p>
        </w:tc>
      </w:tr>
      <w:tr w:rsidR="00B358A4" w14:paraId="6EF84F90" w14:textId="77777777">
        <w:trPr>
          <w:cantSplit/>
          <w:trHeight w:val="510"/>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2A89552F" w14:textId="77777777" w:rsidR="00B358A4" w:rsidRDefault="00B358A4"/>
        </w:tc>
        <w:tc>
          <w:tcPr>
            <w:tcW w:w="3489" w:type="dxa"/>
            <w:gridSpan w:val="2"/>
            <w:vMerge/>
            <w:tcBorders>
              <w:left w:val="single" w:sz="4" w:space="0" w:color="A5A5A5" w:themeColor="background1" w:themeShade="A5"/>
              <w:bottom w:val="single" w:sz="4" w:space="0" w:color="A5A5A5" w:themeColor="background1" w:themeShade="A5"/>
              <w:right w:val="single" w:sz="4" w:space="0" w:color="A5A5A5" w:themeColor="background1" w:themeShade="A5"/>
            </w:tcBorders>
            <w:shd w:val="clear" w:color="auto" w:fill="auto"/>
            <w:vAlign w:val="center"/>
          </w:tcPr>
          <w:p w14:paraId="7195BAF9" w14:textId="77777777" w:rsidR="00B358A4" w:rsidRDefault="00B358A4">
            <w:pPr>
              <w:rPr>
                <w:rFonts w:ascii="Arial" w:eastAsia="仿宋_GB2312" w:hAnsi="Arial"/>
                <w:bCs/>
                <w:szCs w:val="21"/>
              </w:rPr>
            </w:pPr>
          </w:p>
        </w:tc>
        <w:tc>
          <w:tcPr>
            <w:tcW w:w="3375" w:type="dxa"/>
            <w:gridSpan w:val="2"/>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1832C690" w14:textId="77777777" w:rsidR="00B358A4" w:rsidRDefault="00000000">
            <w:pPr>
              <w:rPr>
                <w:rFonts w:ascii="Arial" w:eastAsia="仿宋_GB2312" w:hAnsi="Arial"/>
                <w:bCs/>
                <w:szCs w:val="21"/>
              </w:rPr>
            </w:pPr>
            <w:r>
              <w:rPr>
                <w:rFonts w:ascii="Arial" w:eastAsia="仿宋_GB2312" w:hAnsi="Arial" w:hint="eastAsia"/>
                <w:bCs/>
                <w:szCs w:val="21"/>
              </w:rPr>
              <w:t>科技管理部</w:t>
            </w:r>
          </w:p>
        </w:tc>
      </w:tr>
      <w:tr w:rsidR="00B358A4" w14:paraId="271B9E0A" w14:textId="77777777">
        <w:trPr>
          <w:trHeight w:val="1268"/>
          <w:jc w:val="center"/>
        </w:trPr>
        <w:tc>
          <w:tcPr>
            <w:tcW w:w="1753" w:type="dxa"/>
            <w:vMerge/>
            <w:tcBorders>
              <w:top w:val="single" w:sz="4" w:space="0" w:color="A5A5A5" w:themeColor="background1" w:themeShade="A5"/>
              <w:left w:val="nil"/>
              <w:bottom w:val="single" w:sz="4" w:space="0" w:color="A5A5A5" w:themeColor="background1" w:themeShade="A5"/>
              <w:right w:val="single" w:sz="4" w:space="0" w:color="A5A5A5" w:themeColor="background1" w:themeShade="A5"/>
            </w:tcBorders>
            <w:shd w:val="clear" w:color="auto" w:fill="auto"/>
            <w:vAlign w:val="center"/>
          </w:tcPr>
          <w:p w14:paraId="47112B91" w14:textId="77777777" w:rsidR="00B358A4" w:rsidRDefault="00B358A4">
            <w:pPr>
              <w:jc w:val="center"/>
              <w:rPr>
                <w:rFonts w:ascii="Arial" w:eastAsia="仿宋_GB2312" w:hAnsi="Arial"/>
                <w:b/>
                <w:szCs w:val="21"/>
              </w:rPr>
            </w:pPr>
          </w:p>
        </w:tc>
        <w:tc>
          <w:tcPr>
            <w:tcW w:w="6864" w:type="dxa"/>
            <w:gridSpan w:val="4"/>
            <w:tcBorders>
              <w:top w:val="single" w:sz="4" w:space="0" w:color="A5A5A5" w:themeColor="background1" w:themeShade="A5"/>
              <w:left w:val="single" w:sz="4" w:space="0" w:color="A5A5A5" w:themeColor="background1" w:themeShade="A5"/>
              <w:bottom w:val="single" w:sz="4" w:space="0" w:color="A5A5A5" w:themeColor="background1" w:themeShade="A5"/>
              <w:right w:val="nil"/>
            </w:tcBorders>
            <w:shd w:val="clear" w:color="auto" w:fill="auto"/>
            <w:vAlign w:val="center"/>
          </w:tcPr>
          <w:p w14:paraId="78C13503" w14:textId="43671695" w:rsidR="00B358A4" w:rsidRDefault="00000000">
            <w:pPr>
              <w:spacing w:line="360" w:lineRule="exact"/>
              <w:rPr>
                <w:rFonts w:ascii="仿宋_GB2312" w:eastAsia="仿宋_GB2312"/>
                <w:szCs w:val="21"/>
              </w:rPr>
            </w:pPr>
            <w:r>
              <w:rPr>
                <w:rFonts w:ascii="仿宋_GB2312" w:eastAsia="仿宋_GB2312"/>
                <w:b/>
                <w:bCs/>
                <w:szCs w:val="21"/>
              </w:rPr>
              <w:t>新增</w:t>
            </w:r>
            <w:r>
              <w:rPr>
                <w:rFonts w:ascii="仿宋_GB2312" w:eastAsia="仿宋_GB2312" w:hint="eastAsia"/>
                <w:b/>
                <w:bCs/>
                <w:szCs w:val="21"/>
              </w:rPr>
              <w:t>：</w:t>
            </w:r>
            <w:r>
              <w:rPr>
                <w:rFonts w:ascii="仿宋_GB2312" w:eastAsia="仿宋_GB2312" w:hint="eastAsia"/>
                <w:szCs w:val="21"/>
              </w:rPr>
              <w:t>2024</w:t>
            </w:r>
            <w:r>
              <w:rPr>
                <w:rFonts w:ascii="仿宋_GB2312" w:eastAsia="仿宋_GB2312" w:hAnsi="等线" w:cs="仿宋_GB2312"/>
                <w:szCs w:val="21"/>
                <w:lang w:bidi="ar"/>
              </w:rPr>
              <w:t>年</w:t>
            </w:r>
            <w:r w:rsidR="00935796">
              <w:rPr>
                <w:rFonts w:ascii="仿宋_GB2312" w:eastAsia="仿宋_GB2312" w:hAnsi="等线" w:cs="仿宋_GB2312" w:hint="eastAsia"/>
                <w:szCs w:val="21"/>
                <w:lang w:bidi="ar"/>
              </w:rPr>
              <w:t>X</w:t>
            </w:r>
            <w:r>
              <w:rPr>
                <w:rFonts w:ascii="仿宋_GB2312" w:eastAsia="仿宋_GB2312" w:hAnsi="等线" w:cs="仿宋_GB2312"/>
                <w:szCs w:val="21"/>
                <w:lang w:bidi="ar"/>
              </w:rPr>
              <w:t>月XX日，</w:t>
            </w:r>
            <w:r>
              <w:rPr>
                <w:rFonts w:ascii="仿宋_GB2312" w:eastAsia="仿宋_GB2312" w:hAnsi="Arial" w:cs="仿宋_GB2312"/>
                <w:szCs w:val="21"/>
                <w:lang w:bidi="ar"/>
              </w:rPr>
              <w:t>经</w:t>
            </w:r>
            <w:r w:rsidR="00C13DF4" w:rsidRPr="00C13DF4">
              <w:rPr>
                <w:rFonts w:ascii="仿宋_GB2312" w:eastAsia="仿宋_GB2312" w:hAnsi="Arial" w:cs="仿宋_GB2312" w:hint="eastAsia"/>
                <w:szCs w:val="21"/>
                <w:lang w:bidi="ar"/>
              </w:rPr>
              <w:t>董事会</w:t>
            </w:r>
            <w:r>
              <w:rPr>
                <w:rFonts w:ascii="仿宋_GB2312" w:eastAsia="仿宋_GB2312" w:hAnsi="Arial" w:cs="仿宋_GB2312"/>
                <w:szCs w:val="21"/>
                <w:lang w:bidi="ar"/>
              </w:rPr>
              <w:t>审批通过，</w:t>
            </w:r>
            <w:r>
              <w:rPr>
                <w:rFonts w:ascii="仿宋_GB2312" w:eastAsia="仿宋_GB2312" w:hAnsi="等线" w:cs="仿宋_GB2312"/>
                <w:szCs w:val="21"/>
                <w:lang w:bidi="ar"/>
              </w:rPr>
              <w:t>于</w:t>
            </w:r>
            <w:r w:rsidR="00C13DF4">
              <w:rPr>
                <w:rFonts w:ascii="仿宋_GB2312" w:eastAsia="仿宋_GB2312" w:hAnsi="等线" w:cs="仿宋_GB2312" w:hint="eastAsia"/>
                <w:szCs w:val="21"/>
                <w:lang w:bidi="ar"/>
              </w:rPr>
              <w:t>2024</w:t>
            </w:r>
            <w:r>
              <w:rPr>
                <w:rFonts w:ascii="仿宋_GB2312" w:eastAsia="仿宋_GB2312" w:hAnsi="等线" w:cs="仿宋_GB2312"/>
                <w:szCs w:val="21"/>
                <w:lang w:bidi="ar"/>
              </w:rPr>
              <w:t>年</w:t>
            </w:r>
            <w:r w:rsidR="001B28A5">
              <w:rPr>
                <w:rFonts w:ascii="仿宋_GB2312" w:eastAsia="仿宋_GB2312" w:hAnsi="等线" w:cs="仿宋_GB2312" w:hint="eastAsia"/>
                <w:szCs w:val="21"/>
                <w:lang w:bidi="ar"/>
              </w:rPr>
              <w:t>X</w:t>
            </w:r>
            <w:r>
              <w:rPr>
                <w:rFonts w:ascii="仿宋_GB2312" w:eastAsia="仿宋_GB2312" w:hAnsi="等线" w:cs="仿宋_GB2312"/>
                <w:szCs w:val="21"/>
                <w:lang w:bidi="ar"/>
              </w:rPr>
              <w:t>月XX日起施行。</w:t>
            </w:r>
          </w:p>
        </w:tc>
      </w:tr>
    </w:tbl>
    <w:p w14:paraId="698AB97A" w14:textId="77777777" w:rsidR="00B358A4" w:rsidRDefault="00B358A4">
      <w:pPr>
        <w:widowControl/>
        <w:adjustRightInd w:val="0"/>
        <w:snapToGrid w:val="0"/>
        <w:spacing w:line="320" w:lineRule="exact"/>
        <w:textAlignment w:val="baseline"/>
        <w:rPr>
          <w:rFonts w:ascii="Arial" w:eastAsia="仿宋_GB2312" w:hAnsi="Arial"/>
          <w:szCs w:val="21"/>
        </w:rPr>
      </w:pPr>
    </w:p>
    <w:p w14:paraId="09FA60FB" w14:textId="77777777" w:rsidR="00B358A4" w:rsidRDefault="00B358A4">
      <w:pPr>
        <w:widowControl/>
        <w:adjustRightInd w:val="0"/>
        <w:snapToGrid w:val="0"/>
        <w:spacing w:line="320" w:lineRule="exact"/>
        <w:textAlignment w:val="baseline"/>
        <w:rPr>
          <w:rFonts w:ascii="Arial" w:eastAsia="仿宋_GB2312" w:hAnsi="Arial"/>
          <w:szCs w:val="21"/>
        </w:rPr>
      </w:pPr>
    </w:p>
    <w:p w14:paraId="6567209F" w14:textId="77777777" w:rsidR="00B358A4" w:rsidRDefault="00B358A4">
      <w:pPr>
        <w:widowControl/>
        <w:adjustRightInd w:val="0"/>
        <w:snapToGrid w:val="0"/>
        <w:spacing w:line="320" w:lineRule="exact"/>
        <w:textAlignment w:val="baseline"/>
        <w:rPr>
          <w:rFonts w:ascii="Arial" w:eastAsia="仿宋_GB2312" w:hAnsi="Arial"/>
          <w:szCs w:val="21"/>
        </w:rPr>
      </w:pPr>
    </w:p>
    <w:p w14:paraId="405B70BE" w14:textId="77777777" w:rsidR="00B358A4" w:rsidRDefault="00B358A4">
      <w:pPr>
        <w:widowControl/>
        <w:adjustRightInd w:val="0"/>
        <w:snapToGrid w:val="0"/>
        <w:spacing w:line="320" w:lineRule="exact"/>
        <w:textAlignment w:val="baseline"/>
        <w:rPr>
          <w:rFonts w:ascii="Arial" w:eastAsia="仿宋_GB2312" w:hAnsi="Arial"/>
          <w:szCs w:val="21"/>
        </w:rPr>
      </w:pPr>
    </w:p>
    <w:p w14:paraId="0F0101F7" w14:textId="77777777" w:rsidR="00B358A4" w:rsidRDefault="00B358A4">
      <w:pPr>
        <w:widowControl/>
        <w:adjustRightInd w:val="0"/>
        <w:snapToGrid w:val="0"/>
        <w:spacing w:line="320" w:lineRule="exact"/>
        <w:textAlignment w:val="baseline"/>
        <w:rPr>
          <w:rFonts w:ascii="Arial" w:eastAsia="仿宋_GB2312" w:hAnsi="Arial"/>
          <w:szCs w:val="21"/>
        </w:rPr>
      </w:pPr>
    </w:p>
    <w:p w14:paraId="34B52B83" w14:textId="77777777" w:rsidR="00B358A4" w:rsidRDefault="00B358A4">
      <w:pPr>
        <w:widowControl/>
        <w:adjustRightInd w:val="0"/>
        <w:snapToGrid w:val="0"/>
        <w:spacing w:line="320" w:lineRule="exact"/>
        <w:textAlignment w:val="baseline"/>
        <w:rPr>
          <w:rFonts w:ascii="Arial" w:eastAsia="仿宋_GB2312" w:hAnsi="Arial"/>
          <w:szCs w:val="21"/>
        </w:rPr>
      </w:pPr>
    </w:p>
    <w:p w14:paraId="2552FEB5" w14:textId="77777777" w:rsidR="00B358A4" w:rsidRDefault="00B358A4">
      <w:pPr>
        <w:widowControl/>
        <w:adjustRightInd w:val="0"/>
        <w:snapToGrid w:val="0"/>
        <w:spacing w:line="320" w:lineRule="exact"/>
        <w:textAlignment w:val="baseline"/>
        <w:rPr>
          <w:rFonts w:ascii="Arial" w:eastAsia="仿宋_GB2312" w:hAnsi="Arial"/>
          <w:szCs w:val="21"/>
        </w:rPr>
      </w:pPr>
    </w:p>
    <w:p w14:paraId="7C022F7B" w14:textId="77777777" w:rsidR="00B358A4" w:rsidRDefault="00B358A4">
      <w:pPr>
        <w:widowControl/>
        <w:adjustRightInd w:val="0"/>
        <w:snapToGrid w:val="0"/>
        <w:spacing w:line="320" w:lineRule="exact"/>
        <w:textAlignment w:val="baseline"/>
        <w:rPr>
          <w:rFonts w:ascii="Arial" w:eastAsia="仿宋_GB2312" w:hAnsi="Arial"/>
          <w:szCs w:val="21"/>
        </w:rPr>
      </w:pPr>
    </w:p>
    <w:sdt>
      <w:sdtPr>
        <w:rPr>
          <w:rFonts w:ascii="仿宋_GB2312" w:eastAsia="仿宋_GB2312" w:hAnsi="Calibri" w:cs="Times New Roman" w:hint="eastAsia"/>
          <w:color w:val="auto"/>
          <w:kern w:val="2"/>
          <w:sz w:val="21"/>
          <w:szCs w:val="22"/>
          <w:lang w:val="zh-CN"/>
        </w:rPr>
        <w:id w:val="1111863057"/>
        <w:docPartObj>
          <w:docPartGallery w:val="Table of Contents"/>
          <w:docPartUnique/>
        </w:docPartObj>
      </w:sdtPr>
      <w:sdtEndPr>
        <w:rPr>
          <w:b/>
          <w:bCs/>
        </w:rPr>
      </w:sdtEndPr>
      <w:sdtContent>
        <w:p w14:paraId="7AE477B1" w14:textId="7341D33B" w:rsidR="00B358A4" w:rsidRDefault="00000000">
          <w:pPr>
            <w:pStyle w:val="TOC10"/>
            <w:jc w:val="center"/>
            <w:rPr>
              <w:rFonts w:ascii="仿宋_GB2312" w:eastAsia="仿宋_GB2312"/>
              <w:b/>
              <w:bCs/>
              <w:color w:val="auto"/>
            </w:rPr>
          </w:pPr>
          <w:r>
            <w:rPr>
              <w:rFonts w:ascii="仿宋_GB2312" w:eastAsia="仿宋_GB2312" w:hint="eastAsia"/>
              <w:b/>
              <w:bCs/>
              <w:color w:val="auto"/>
              <w:lang w:val="zh-CN"/>
            </w:rPr>
            <w:t>目</w:t>
          </w:r>
          <w:r w:rsidR="006279BD">
            <w:rPr>
              <w:rFonts w:ascii="仿宋_GB2312" w:eastAsia="仿宋_GB2312" w:hint="eastAsia"/>
              <w:b/>
              <w:bCs/>
              <w:color w:val="auto"/>
              <w:lang w:val="zh-CN"/>
            </w:rPr>
            <w:t xml:space="preserve">  </w:t>
          </w:r>
          <w:r>
            <w:rPr>
              <w:rFonts w:ascii="仿宋_GB2312" w:eastAsia="仿宋_GB2312" w:hint="eastAsia"/>
              <w:b/>
              <w:bCs/>
              <w:color w:val="auto"/>
              <w:lang w:val="zh-CN"/>
            </w:rPr>
            <w:t>录</w:t>
          </w:r>
        </w:p>
        <w:p w14:paraId="29D0C4CD" w14:textId="61C7EFC6" w:rsidR="00B358A4" w:rsidRDefault="00000000">
          <w:pPr>
            <w:pStyle w:val="TOC1"/>
            <w:tabs>
              <w:tab w:val="right" w:leader="dot" w:pos="8834"/>
            </w:tabs>
            <w:rPr>
              <w:rFonts w:ascii="仿宋_GB2312" w:eastAsia="仿宋_GB2312" w:cstheme="minorBidi"/>
              <w:kern w:val="2"/>
              <w:sz w:val="32"/>
              <w:szCs w:val="32"/>
              <w14:ligatures w14:val="standardContextual"/>
            </w:rPr>
          </w:pPr>
          <w:r>
            <w:rPr>
              <w:rFonts w:ascii="仿宋_GB2312" w:eastAsia="仿宋_GB2312"/>
              <w:sz w:val="32"/>
              <w:szCs w:val="32"/>
            </w:rPr>
            <w:fldChar w:fldCharType="begin"/>
          </w:r>
          <w:r>
            <w:rPr>
              <w:rFonts w:ascii="仿宋_GB2312" w:eastAsia="仿宋_GB2312"/>
              <w:sz w:val="32"/>
              <w:szCs w:val="32"/>
            </w:rPr>
            <w:instrText xml:space="preserve"> TOC \o "1-3" \h \z \u </w:instrText>
          </w:r>
          <w:r>
            <w:rPr>
              <w:rFonts w:ascii="仿宋_GB2312" w:eastAsia="仿宋_GB2312"/>
              <w:sz w:val="32"/>
              <w:szCs w:val="32"/>
            </w:rPr>
            <w:fldChar w:fldCharType="separate"/>
          </w:r>
          <w:hyperlink w:anchor="_Toc172625164" w:history="1">
            <w:r>
              <w:rPr>
                <w:rStyle w:val="af2"/>
                <w:rFonts w:ascii="仿宋_GB2312" w:eastAsia="仿宋_GB2312" w:hAnsi="黑体" w:cs="黑体" w:hint="eastAsia"/>
                <w:sz w:val="32"/>
                <w:szCs w:val="32"/>
              </w:rPr>
              <w:t>第一章  总则</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_Toc172625164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- 1 -</w:t>
            </w:r>
            <w:r>
              <w:rPr>
                <w:rFonts w:ascii="仿宋_GB2312" w:eastAsia="仿宋_GB2312" w:hint="eastAsia"/>
                <w:sz w:val="32"/>
                <w:szCs w:val="32"/>
              </w:rPr>
              <w:fldChar w:fldCharType="end"/>
            </w:r>
          </w:hyperlink>
        </w:p>
        <w:p w14:paraId="491ABDEB" w14:textId="4E307559"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65" w:history="1">
            <w:r>
              <w:rPr>
                <w:rStyle w:val="af2"/>
                <w:rFonts w:ascii="仿宋_GB2312" w:eastAsia="仿宋_GB2312" w:hAnsi="黑体" w:cs="黑体" w:hint="eastAsia"/>
                <w:sz w:val="32"/>
                <w:szCs w:val="32"/>
              </w:rPr>
              <w:t>第二章  组织与职责</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_Toc172625165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- 2 -</w:t>
            </w:r>
            <w:r>
              <w:rPr>
                <w:rFonts w:ascii="仿宋_GB2312" w:eastAsia="仿宋_GB2312" w:hint="eastAsia"/>
                <w:sz w:val="32"/>
                <w:szCs w:val="32"/>
              </w:rPr>
              <w:fldChar w:fldCharType="end"/>
            </w:r>
          </w:hyperlink>
        </w:p>
        <w:p w14:paraId="21F4CB39" w14:textId="4AE1C524"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66" w:history="1">
            <w:r>
              <w:rPr>
                <w:rStyle w:val="af2"/>
                <w:rFonts w:ascii="仿宋_GB2312" w:eastAsia="仿宋_GB2312" w:hAnsi="黑体" w:cs="黑体" w:hint="eastAsia"/>
                <w:sz w:val="32"/>
                <w:szCs w:val="32"/>
              </w:rPr>
              <w:t>第三章  参股投资管理</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_Toc172625166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- 3 -</w:t>
            </w:r>
            <w:r>
              <w:rPr>
                <w:rFonts w:ascii="仿宋_GB2312" w:eastAsia="仿宋_GB2312" w:hint="eastAsia"/>
                <w:sz w:val="32"/>
                <w:szCs w:val="32"/>
              </w:rPr>
              <w:fldChar w:fldCharType="end"/>
            </w:r>
          </w:hyperlink>
        </w:p>
        <w:p w14:paraId="4724FDEF" w14:textId="1AD5FAC1"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67" w:history="1">
            <w:r>
              <w:rPr>
                <w:rStyle w:val="af2"/>
                <w:rFonts w:ascii="仿宋_GB2312" w:eastAsia="仿宋_GB2312" w:hAnsi="黑体" w:cs="黑体" w:hint="eastAsia"/>
                <w:sz w:val="32"/>
                <w:szCs w:val="32"/>
              </w:rPr>
              <w:t>第四章  参股股权经营管理</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_Toc172625167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- 4 -</w:t>
            </w:r>
            <w:r>
              <w:rPr>
                <w:rFonts w:ascii="仿宋_GB2312" w:eastAsia="仿宋_GB2312" w:hint="eastAsia"/>
                <w:sz w:val="32"/>
                <w:szCs w:val="32"/>
              </w:rPr>
              <w:fldChar w:fldCharType="end"/>
            </w:r>
          </w:hyperlink>
        </w:p>
        <w:p w14:paraId="712E8473" w14:textId="37F10538"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68" w:history="1">
            <w:r>
              <w:rPr>
                <w:rStyle w:val="af2"/>
                <w:rFonts w:ascii="仿宋_GB2312" w:eastAsia="仿宋_GB2312" w:hAnsi="黑体" w:cs="黑体" w:hint="eastAsia"/>
                <w:sz w:val="32"/>
                <w:szCs w:val="32"/>
              </w:rPr>
              <w:t>第五章  参股股权退出管理</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_Toc172625168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- 6 -</w:t>
            </w:r>
            <w:r>
              <w:rPr>
                <w:rFonts w:ascii="仿宋_GB2312" w:eastAsia="仿宋_GB2312" w:hint="eastAsia"/>
                <w:sz w:val="32"/>
                <w:szCs w:val="32"/>
              </w:rPr>
              <w:fldChar w:fldCharType="end"/>
            </w:r>
          </w:hyperlink>
        </w:p>
        <w:p w14:paraId="209C2CAF" w14:textId="2F49A2A1"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69" w:history="1">
            <w:r>
              <w:rPr>
                <w:rStyle w:val="af2"/>
                <w:rFonts w:ascii="仿宋_GB2312" w:eastAsia="仿宋_GB2312" w:hAnsi="黑体" w:cs="黑体" w:hint="eastAsia"/>
                <w:sz w:val="32"/>
                <w:szCs w:val="32"/>
              </w:rPr>
              <w:t>第六章  考核与监督</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_Toc172625169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- 6 -</w:t>
            </w:r>
            <w:r>
              <w:rPr>
                <w:rFonts w:ascii="仿宋_GB2312" w:eastAsia="仿宋_GB2312" w:hint="eastAsia"/>
                <w:sz w:val="32"/>
                <w:szCs w:val="32"/>
              </w:rPr>
              <w:fldChar w:fldCharType="end"/>
            </w:r>
          </w:hyperlink>
        </w:p>
        <w:p w14:paraId="226B079F" w14:textId="4E2B81EA"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70" w:history="1">
            <w:r>
              <w:rPr>
                <w:rStyle w:val="af2"/>
                <w:rFonts w:ascii="仿宋_GB2312" w:eastAsia="仿宋_GB2312" w:hAnsi="黑体" w:cs="黑体" w:hint="eastAsia"/>
                <w:sz w:val="32"/>
                <w:szCs w:val="32"/>
              </w:rPr>
              <w:t>第七章  附则</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_Toc172625170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- 7 -</w:t>
            </w:r>
            <w:r>
              <w:rPr>
                <w:rFonts w:ascii="仿宋_GB2312" w:eastAsia="仿宋_GB2312" w:hint="eastAsia"/>
                <w:sz w:val="32"/>
                <w:szCs w:val="32"/>
              </w:rPr>
              <w:fldChar w:fldCharType="end"/>
            </w:r>
          </w:hyperlink>
        </w:p>
        <w:p w14:paraId="7F1034A0" w14:textId="55EA5F2D" w:rsidR="00B358A4" w:rsidRDefault="00000000">
          <w:pPr>
            <w:pStyle w:val="TOC1"/>
            <w:tabs>
              <w:tab w:val="right" w:leader="dot" w:pos="8834"/>
            </w:tabs>
            <w:rPr>
              <w:rFonts w:ascii="仿宋_GB2312" w:eastAsia="仿宋_GB2312" w:cstheme="minorBidi"/>
              <w:kern w:val="2"/>
              <w:sz w:val="32"/>
              <w:szCs w:val="32"/>
              <w14:ligatures w14:val="standardContextual"/>
            </w:rPr>
          </w:pPr>
          <w:hyperlink w:anchor="_Toc172625171" w:history="1">
            <w:r>
              <w:rPr>
                <w:rStyle w:val="af2"/>
                <w:rFonts w:ascii="仿宋_GB2312" w:eastAsia="仿宋_GB2312" w:hAnsi="黑体" w:cs="仿宋_GB2312" w:hint="eastAsia"/>
                <w:sz w:val="32"/>
                <w:szCs w:val="32"/>
              </w:rPr>
              <w:t>附件</w:t>
            </w:r>
            <w:r>
              <w:rPr>
                <w:rStyle w:val="af2"/>
                <w:rFonts w:ascii="仿宋_GB2312" w:eastAsia="仿宋_GB2312" w:hAnsi="Arial" w:cs="Arial"/>
                <w:sz w:val="32"/>
                <w:szCs w:val="32"/>
              </w:rPr>
              <w:t>1</w:t>
            </w:r>
            <w:r>
              <w:rPr>
                <w:rFonts w:ascii="仿宋_GB2312" w:eastAsia="仿宋_GB2312"/>
                <w:sz w:val="32"/>
                <w:szCs w:val="32"/>
              </w:rPr>
              <w:tab/>
            </w:r>
            <w:r>
              <w:rPr>
                <w:rFonts w:ascii="仿宋_GB2312" w:eastAsia="仿宋_GB2312" w:hint="eastAsia"/>
                <w:sz w:val="32"/>
                <w:szCs w:val="32"/>
              </w:rPr>
              <w:fldChar w:fldCharType="begin"/>
            </w:r>
            <w:r>
              <w:rPr>
                <w:rFonts w:ascii="仿宋_GB2312" w:eastAsia="仿宋_GB2312"/>
                <w:sz w:val="32"/>
                <w:szCs w:val="32"/>
              </w:rPr>
              <w:instrText xml:space="preserve"> PAGEREF _Toc172625171 \h </w:instrText>
            </w:r>
            <w:r>
              <w:rPr>
                <w:rFonts w:ascii="仿宋_GB2312" w:eastAsia="仿宋_GB2312" w:hint="eastAsia"/>
                <w:sz w:val="32"/>
                <w:szCs w:val="32"/>
              </w:rPr>
            </w:r>
            <w:r>
              <w:rPr>
                <w:rFonts w:ascii="仿宋_GB2312" w:eastAsia="仿宋_GB2312" w:hint="eastAsia"/>
                <w:sz w:val="32"/>
                <w:szCs w:val="32"/>
              </w:rPr>
              <w:fldChar w:fldCharType="separate"/>
            </w:r>
            <w:r w:rsidR="00E54EE5">
              <w:rPr>
                <w:rFonts w:ascii="仿宋_GB2312" w:eastAsia="仿宋_GB2312"/>
                <w:noProof/>
                <w:sz w:val="32"/>
                <w:szCs w:val="32"/>
              </w:rPr>
              <w:t>- 8 -</w:t>
            </w:r>
            <w:r>
              <w:rPr>
                <w:rFonts w:ascii="仿宋_GB2312" w:eastAsia="仿宋_GB2312" w:hint="eastAsia"/>
                <w:sz w:val="32"/>
                <w:szCs w:val="32"/>
              </w:rPr>
              <w:fldChar w:fldCharType="end"/>
            </w:r>
          </w:hyperlink>
        </w:p>
        <w:p w14:paraId="2BBFE479" w14:textId="77777777" w:rsidR="00B358A4" w:rsidRDefault="00000000">
          <w:pPr>
            <w:tabs>
              <w:tab w:val="right" w:pos="8844"/>
            </w:tabs>
          </w:pPr>
          <w:r>
            <w:rPr>
              <w:rFonts w:ascii="仿宋_GB2312" w:eastAsia="仿宋_GB2312"/>
              <w:b/>
              <w:bCs/>
              <w:sz w:val="32"/>
              <w:szCs w:val="32"/>
              <w:lang w:val="zh-CN"/>
            </w:rPr>
            <w:fldChar w:fldCharType="end"/>
          </w:r>
          <w:r>
            <w:rPr>
              <w:rFonts w:ascii="仿宋_GB2312" w:eastAsia="仿宋_GB2312"/>
              <w:b/>
              <w:bCs/>
              <w:sz w:val="32"/>
              <w:szCs w:val="32"/>
              <w:lang w:val="zh-CN"/>
            </w:rPr>
            <w:tab/>
          </w:r>
        </w:p>
      </w:sdtContent>
    </w:sdt>
    <w:p w14:paraId="7BACC3A8" w14:textId="77777777" w:rsidR="00B358A4" w:rsidRDefault="00000000">
      <w:pPr>
        <w:widowControl/>
        <w:jc w:val="left"/>
        <w:rPr>
          <w:rFonts w:ascii="Arial" w:eastAsia="仿宋_GB2312" w:hAnsi="Arial"/>
          <w:szCs w:val="21"/>
        </w:rPr>
      </w:pPr>
      <w:r>
        <w:rPr>
          <w:rFonts w:ascii="Arial" w:eastAsia="仿宋_GB2312" w:hAnsi="Arial"/>
          <w:szCs w:val="21"/>
        </w:rPr>
        <w:br w:type="page"/>
      </w:r>
    </w:p>
    <w:p w14:paraId="2DDAEBBC" w14:textId="77777777" w:rsidR="00B358A4" w:rsidRDefault="00B358A4">
      <w:pPr>
        <w:widowControl/>
        <w:jc w:val="left"/>
        <w:rPr>
          <w:rFonts w:ascii="Arial" w:eastAsia="仿宋_GB2312" w:hAnsi="Arial"/>
          <w:szCs w:val="21"/>
        </w:rPr>
        <w:sectPr w:rsidR="00B358A4">
          <w:footerReference w:type="default" r:id="rId10"/>
          <w:pgSz w:w="11906" w:h="16838"/>
          <w:pgMar w:top="2098" w:right="1474" w:bottom="1984" w:left="1587" w:header="851" w:footer="992" w:gutter="0"/>
          <w:pgNumType w:fmt="numberInDash" w:start="1"/>
          <w:cols w:space="720"/>
          <w:docGrid w:type="lines" w:linePitch="312"/>
        </w:sectPr>
      </w:pPr>
    </w:p>
    <w:p w14:paraId="42924DC2" w14:textId="3154E8EA" w:rsidR="00B358A4" w:rsidRDefault="00000000">
      <w:pPr>
        <w:pStyle w:val="1"/>
        <w:spacing w:before="260" w:after="260" w:line="520" w:lineRule="exact"/>
        <w:jc w:val="center"/>
        <w:rPr>
          <w:rFonts w:ascii="黑体" w:eastAsia="黑体" w:hAnsi="黑体" w:cs="黑体" w:hint="eastAsia"/>
          <w:b w:val="0"/>
          <w:bCs w:val="0"/>
          <w:sz w:val="32"/>
          <w:szCs w:val="32"/>
        </w:rPr>
      </w:pPr>
      <w:bookmarkStart w:id="1" w:name="_Toc172625164"/>
      <w:bookmarkEnd w:id="0"/>
      <w:r>
        <w:rPr>
          <w:rFonts w:ascii="黑体" w:eastAsia="黑体" w:hAnsi="黑体" w:cs="黑体" w:hint="eastAsia"/>
          <w:b w:val="0"/>
          <w:bCs w:val="0"/>
          <w:sz w:val="32"/>
          <w:szCs w:val="32"/>
        </w:rPr>
        <w:lastRenderedPageBreak/>
        <w:t>第一章  总</w:t>
      </w:r>
      <w:r w:rsidR="006279BD">
        <w:rPr>
          <w:rFonts w:ascii="黑体" w:eastAsia="黑体" w:hAnsi="黑体" w:cs="黑体" w:hint="eastAsia"/>
          <w:b w:val="0"/>
          <w:bCs w:val="0"/>
          <w:sz w:val="32"/>
          <w:szCs w:val="32"/>
        </w:rPr>
        <w:t xml:space="preserve">  </w:t>
      </w:r>
      <w:r>
        <w:rPr>
          <w:rFonts w:ascii="黑体" w:eastAsia="黑体" w:hAnsi="黑体" w:cs="黑体" w:hint="eastAsia"/>
          <w:b w:val="0"/>
          <w:bCs w:val="0"/>
          <w:sz w:val="32"/>
          <w:szCs w:val="32"/>
        </w:rPr>
        <w:t>则</w:t>
      </w:r>
      <w:bookmarkEnd w:id="1"/>
    </w:p>
    <w:p w14:paraId="01BDE9BE"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第一条</w:t>
      </w:r>
      <w:r>
        <w:rPr>
          <w:rFonts w:ascii="仿宋_GB2312" w:eastAsia="仿宋_GB2312" w:hAnsi="仿宋_GB2312" w:cs="仿宋_GB2312" w:hint="eastAsia"/>
          <w:sz w:val="32"/>
          <w:szCs w:val="32"/>
        </w:rPr>
        <w:t xml:space="preserve"> 为规范四川</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hint="eastAsia"/>
          <w:sz w:val="32"/>
          <w:szCs w:val="32"/>
        </w:rPr>
        <w:t>投资控股集团有限公司参股管理相关工作，增强主业核心竞争能力，防范参股投资风险，根据《中华人民共和国公司法》《中华人民共和国企业国有资产法》《企业国有资产监督管理暂行条例》《国有企业参股管理暂行办法》《绵阳市市属国有企业投融资及担保管理暂行办法》《四川</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hint="eastAsia"/>
          <w:sz w:val="32"/>
          <w:szCs w:val="32"/>
        </w:rPr>
        <w:t>投资控股集团有限公司股权投资管理办法》等</w:t>
      </w:r>
      <w:r>
        <w:rPr>
          <w:rFonts w:ascii="仿宋_GB2312" w:eastAsia="仿宋_GB2312" w:hAnsi="仿宋_GB2312" w:cs="仿宋_GB2312" w:hint="eastAsia"/>
          <w:kern w:val="0"/>
          <w:sz w:val="32"/>
          <w:szCs w:val="32"/>
          <w:lang w:val="zh-CN" w:bidi="zh-CN"/>
        </w:rPr>
        <w:t>法律法规及</w:t>
      </w:r>
      <w:r>
        <w:rPr>
          <w:rFonts w:ascii="仿宋_GB2312" w:eastAsia="仿宋_GB2312" w:hAnsi="仿宋_GB2312" w:cs="仿宋_GB2312" w:hint="eastAsia"/>
          <w:kern w:val="0"/>
          <w:sz w:val="32"/>
          <w:szCs w:val="32"/>
          <w:lang w:bidi="zh-CN"/>
        </w:rPr>
        <w:t>规范性文件的</w:t>
      </w:r>
      <w:r>
        <w:rPr>
          <w:rFonts w:ascii="仿宋_GB2312" w:eastAsia="仿宋_GB2312" w:hAnsi="仿宋_GB2312" w:cs="仿宋_GB2312" w:hint="eastAsia"/>
          <w:sz w:val="32"/>
          <w:szCs w:val="32"/>
        </w:rPr>
        <w:t>规定，结合集团实际，制定本办法。</w:t>
      </w:r>
    </w:p>
    <w:p w14:paraId="6DBCBE77"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第二条</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本办法适用于四川</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hint="eastAsia"/>
          <w:sz w:val="32"/>
          <w:szCs w:val="32"/>
        </w:rPr>
        <w:t>投资控股集团有限公司（下称总部）及下属各级全资、控股及其他能够实际控制的企业（下称下属企业）。总部和下属企业统称为集团。</w:t>
      </w:r>
    </w:p>
    <w:p w14:paraId="7CE3CE05" w14:textId="77777777" w:rsidR="00B358A4" w:rsidRDefault="00000000">
      <w:pPr>
        <w:spacing w:line="520" w:lineRule="exact"/>
        <w:ind w:firstLineChars="200" w:firstLine="643"/>
        <w:rPr>
          <w:rFonts w:ascii="仿宋_GB2312" w:eastAsia="仿宋_GB2312" w:hAnsi="仿宋_GB2312" w:cs="仿宋_GB2312" w:hint="eastAsia"/>
          <w:sz w:val="32"/>
          <w:szCs w:val="32"/>
          <w:lang w:val="zh-CN"/>
        </w:rPr>
      </w:pPr>
      <w:r>
        <w:rPr>
          <w:rFonts w:ascii="仿宋_GB2312" w:eastAsia="仿宋_GB2312" w:hAnsi="仿宋_GB2312" w:cs="仿宋_GB2312" w:hint="eastAsia"/>
          <w:b/>
          <w:bCs/>
          <w:sz w:val="32"/>
          <w:szCs w:val="32"/>
        </w:rPr>
        <w:t>第三条</w:t>
      </w:r>
      <w:r>
        <w:rPr>
          <w:rFonts w:ascii="仿宋_GB2312" w:eastAsia="仿宋_GB2312" w:hAnsi="仿宋_GB2312" w:cs="仿宋_GB2312" w:hint="eastAsia"/>
          <w:sz w:val="32"/>
          <w:szCs w:val="32"/>
        </w:rPr>
        <w:t xml:space="preserve"> 本办法所称参股是</w:t>
      </w:r>
      <w:proofErr w:type="gramStart"/>
      <w:r>
        <w:rPr>
          <w:rFonts w:ascii="仿宋_GB2312" w:eastAsia="仿宋_GB2312" w:hAnsi="仿宋_GB2312" w:cs="仿宋_GB2312" w:hint="eastAsia"/>
          <w:sz w:val="32"/>
          <w:szCs w:val="32"/>
        </w:rPr>
        <w:t>指集团</w:t>
      </w:r>
      <w:proofErr w:type="gramEnd"/>
      <w:r>
        <w:rPr>
          <w:rFonts w:ascii="仿宋_GB2312" w:eastAsia="仿宋_GB2312" w:hAnsi="仿宋_GB2312" w:cs="仿宋_GB2312" w:hint="eastAsia"/>
          <w:sz w:val="32"/>
          <w:szCs w:val="32"/>
        </w:rPr>
        <w:t>在所投资企业（下称参股企业）持股比例不超过</w:t>
      </w:r>
      <w:r>
        <w:rPr>
          <w:rFonts w:ascii="Arial" w:eastAsia="仿宋_GB2312" w:hAnsi="Arial" w:cs="Arial"/>
          <w:sz w:val="32"/>
          <w:szCs w:val="32"/>
        </w:rPr>
        <w:t>50%</w:t>
      </w:r>
      <w:r>
        <w:rPr>
          <w:rFonts w:ascii="仿宋_GB2312" w:eastAsia="仿宋_GB2312" w:hAnsi="仿宋_GB2312" w:cs="仿宋_GB2312" w:hint="eastAsia"/>
          <w:sz w:val="32"/>
          <w:szCs w:val="32"/>
        </w:rPr>
        <w:t>且不具有实际控制力的股权投资</w:t>
      </w:r>
      <w:bookmarkStart w:id="2" w:name="_Hlk164418751"/>
      <w:bookmarkStart w:id="3" w:name="_Hlk164180447"/>
      <w:r>
        <w:rPr>
          <w:rFonts w:ascii="仿宋_GB2312" w:eastAsia="仿宋_GB2312" w:hAnsi="仿宋_GB2312" w:cs="仿宋_GB2312" w:hint="eastAsia"/>
          <w:sz w:val="32"/>
          <w:szCs w:val="32"/>
        </w:rPr>
        <w:t>。基金运营投资不适用本办法。</w:t>
      </w:r>
      <w:bookmarkEnd w:id="2"/>
    </w:p>
    <w:bookmarkEnd w:id="3"/>
    <w:p w14:paraId="4A639139"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第四条</w:t>
      </w:r>
      <w:r>
        <w:rPr>
          <w:rFonts w:ascii="仿宋_GB2312" w:eastAsia="仿宋_GB2312" w:hAnsi="仿宋_GB2312" w:cs="仿宋_GB2312" w:hint="eastAsia"/>
          <w:sz w:val="32"/>
          <w:szCs w:val="32"/>
        </w:rPr>
        <w:t xml:space="preserve"> 本办法所称的</w:t>
      </w:r>
      <w:bookmarkStart w:id="4" w:name="_Hlk171498595"/>
      <w:bookmarkStart w:id="5" w:name="_Hlk164418797"/>
      <w:r>
        <w:rPr>
          <w:rFonts w:ascii="仿宋_GB2312" w:eastAsia="仿宋_GB2312" w:hAnsi="仿宋_GB2312" w:cs="仿宋_GB2312" w:hint="eastAsia"/>
          <w:sz w:val="32"/>
          <w:szCs w:val="32"/>
        </w:rPr>
        <w:t>参股管理包括参股投资管理、参股股权经营管理和参股股权退出管理等系列活动。</w:t>
      </w:r>
      <w:bookmarkEnd w:id="4"/>
    </w:p>
    <w:bookmarkEnd w:id="5"/>
    <w:p w14:paraId="68C717D6" w14:textId="77777777" w:rsidR="00B358A4" w:rsidRDefault="00000000">
      <w:pPr>
        <w:widowControl/>
        <w:numPr>
          <w:ilvl w:val="255"/>
          <w:numId w:val="0"/>
        </w:numPr>
        <w:tabs>
          <w:tab w:val="left" w:pos="2324"/>
        </w:tabs>
        <w:autoSpaceDE w:val="0"/>
        <w:autoSpaceDN w:val="0"/>
        <w:spacing w:line="520" w:lineRule="exact"/>
        <w:ind w:firstLineChars="200" w:firstLine="643"/>
        <w:rPr>
          <w:rFonts w:ascii="仿宋_GB2312" w:eastAsia="仿宋_GB2312" w:hAnsi="仿宋_GB2312" w:cs="仿宋_GB2312" w:hint="eastAsia"/>
          <w:bCs/>
          <w:sz w:val="32"/>
          <w:szCs w:val="32"/>
          <w:lang w:bidi="zh-CN"/>
        </w:rPr>
      </w:pPr>
      <w:r>
        <w:rPr>
          <w:rFonts w:ascii="仿宋_GB2312" w:eastAsia="仿宋_GB2312" w:hAnsi="仿宋_GB2312" w:cs="仿宋_GB2312" w:hint="eastAsia"/>
          <w:b/>
          <w:bCs/>
          <w:sz w:val="32"/>
          <w:szCs w:val="32"/>
        </w:rPr>
        <w:t xml:space="preserve">第五条 </w:t>
      </w:r>
      <w:bookmarkStart w:id="6" w:name="OLE_LINK1"/>
      <w:r>
        <w:rPr>
          <w:rFonts w:ascii="仿宋_GB2312" w:eastAsia="仿宋_GB2312" w:hAnsi="仿宋_GB2312" w:cs="仿宋_GB2312" w:hint="eastAsia"/>
          <w:bCs/>
          <w:sz w:val="32"/>
          <w:szCs w:val="32"/>
          <w:lang w:bidi="zh-CN"/>
        </w:rPr>
        <w:t>集团</w:t>
      </w:r>
      <w:bookmarkStart w:id="7" w:name="_Hlk171498629"/>
      <w:r>
        <w:rPr>
          <w:rFonts w:ascii="仿宋_GB2312" w:eastAsia="仿宋_GB2312" w:hAnsi="仿宋_GB2312" w:cs="仿宋_GB2312" w:hint="eastAsia"/>
          <w:bCs/>
          <w:sz w:val="32"/>
          <w:szCs w:val="32"/>
          <w:lang w:bidi="zh-CN"/>
        </w:rPr>
        <w:t>按照“聚焦主业、规范运营、管控风险、创造价值”的总体要求，结合参股投资主要目的分层分类开展参股管理。</w:t>
      </w:r>
    </w:p>
    <w:p w14:paraId="38EA6EAB" w14:textId="77777777" w:rsidR="00B358A4" w:rsidRDefault="00000000">
      <w:pPr>
        <w:widowControl/>
        <w:numPr>
          <w:ilvl w:val="255"/>
          <w:numId w:val="0"/>
        </w:numPr>
        <w:tabs>
          <w:tab w:val="left" w:pos="2324"/>
        </w:tabs>
        <w:autoSpaceDE w:val="0"/>
        <w:autoSpaceDN w:val="0"/>
        <w:spacing w:line="520" w:lineRule="exact"/>
        <w:ind w:firstLineChars="200" w:firstLine="640"/>
        <w:rPr>
          <w:rFonts w:ascii="仿宋_GB2312" w:eastAsia="仿宋_GB2312" w:hAnsi="仿宋_GB2312" w:cs="仿宋_GB2312" w:hint="eastAsia"/>
          <w:bCs/>
          <w:sz w:val="32"/>
          <w:szCs w:val="32"/>
          <w:lang w:bidi="zh-CN"/>
        </w:rPr>
      </w:pPr>
      <w:r>
        <w:rPr>
          <w:rFonts w:ascii="仿宋_GB2312" w:eastAsia="仿宋_GB2312" w:hAnsi="仿宋_GB2312" w:cs="仿宋_GB2312" w:hint="eastAsia"/>
          <w:bCs/>
          <w:sz w:val="32"/>
          <w:szCs w:val="32"/>
          <w:lang w:bidi="zh-CN"/>
        </w:rPr>
        <w:t>参股投资按投资目的可分为产业类投资、财务类投资和政策性投资。产业类投资是指为促进产业发展，以产业培育、创新孵化等为主要目的实施的参股投资。财务类投资是指以获取财务回</w:t>
      </w:r>
      <w:r>
        <w:rPr>
          <w:rFonts w:ascii="仿宋_GB2312" w:eastAsia="仿宋_GB2312" w:hAnsi="仿宋_GB2312" w:cs="仿宋_GB2312" w:hint="eastAsia"/>
          <w:bCs/>
          <w:sz w:val="32"/>
          <w:szCs w:val="32"/>
          <w:lang w:bidi="zh-CN"/>
        </w:rPr>
        <w:lastRenderedPageBreak/>
        <w:t>报为主要目的实施的参股投资。政策类投资是指按照政策性安排或政府指定实施的参股投资。</w:t>
      </w:r>
    </w:p>
    <w:p w14:paraId="14A46E9D" w14:textId="77777777" w:rsidR="00B358A4" w:rsidRDefault="00000000">
      <w:pPr>
        <w:pStyle w:val="1"/>
        <w:spacing w:before="260" w:after="260" w:line="520" w:lineRule="exact"/>
        <w:jc w:val="center"/>
        <w:rPr>
          <w:rFonts w:ascii="黑体" w:eastAsia="黑体" w:hAnsi="黑体" w:cs="黑体" w:hint="eastAsia"/>
          <w:bCs w:val="0"/>
          <w:sz w:val="32"/>
          <w:szCs w:val="32"/>
        </w:rPr>
      </w:pPr>
      <w:bookmarkStart w:id="8" w:name="_Toc172625165"/>
      <w:r>
        <w:rPr>
          <w:rFonts w:ascii="黑体" w:eastAsia="黑体" w:hAnsi="黑体" w:cs="黑体" w:hint="eastAsia"/>
          <w:b w:val="0"/>
          <w:bCs w:val="0"/>
          <w:sz w:val="32"/>
          <w:szCs w:val="32"/>
        </w:rPr>
        <w:t>第二章  组织与职责</w:t>
      </w:r>
      <w:bookmarkEnd w:id="8"/>
    </w:p>
    <w:bookmarkEnd w:id="6"/>
    <w:bookmarkEnd w:id="7"/>
    <w:p w14:paraId="0334445F"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第六条</w:t>
      </w:r>
      <w:r>
        <w:rPr>
          <w:rFonts w:ascii="仿宋_GB2312" w:eastAsia="仿宋_GB2312" w:hAnsi="仿宋_GB2312" w:cs="仿宋_GB2312" w:hint="eastAsia"/>
          <w:sz w:val="32"/>
          <w:szCs w:val="32"/>
        </w:rPr>
        <w:t xml:space="preserve"> 总部资本运营部是集团参股管理的归口管理部门，职责包括：</w:t>
      </w:r>
    </w:p>
    <w:p w14:paraId="072FA0FE"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（一）负责制订或修订集团参股管理制度。</w:t>
      </w:r>
    </w:p>
    <w:p w14:paraId="493FF7C2"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（二）负责编制参股</w:t>
      </w:r>
      <w:proofErr w:type="gramStart"/>
      <w:r>
        <w:rPr>
          <w:rFonts w:ascii="仿宋_GB2312" w:eastAsia="仿宋_GB2312" w:hAnsi="仿宋_GB2312" w:cs="仿宋_GB2312" w:hint="eastAsia"/>
          <w:sz w:val="32"/>
          <w:szCs w:val="32"/>
        </w:rPr>
        <w:t>投资台</w:t>
      </w:r>
      <w:proofErr w:type="gramEnd"/>
      <w:r>
        <w:rPr>
          <w:rFonts w:ascii="仿宋_GB2312" w:eastAsia="仿宋_GB2312" w:hAnsi="仿宋_GB2312" w:cs="仿宋_GB2312" w:hint="eastAsia"/>
          <w:sz w:val="32"/>
          <w:szCs w:val="32"/>
        </w:rPr>
        <w:t>账。</w:t>
      </w:r>
    </w:p>
    <w:p w14:paraId="3610A2E3"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（三）牵头负责以总部为投资主体的参股管理工作。</w:t>
      </w:r>
    </w:p>
    <w:p w14:paraId="3745ABB7"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（四）对下属企业的参股管理工作进行规范、指导、协调和监督。</w:t>
      </w:r>
    </w:p>
    <w:p w14:paraId="06D96FBD" w14:textId="77777777" w:rsidR="00B358A4" w:rsidRDefault="00000000">
      <w:pPr>
        <w:spacing w:line="520" w:lineRule="exact"/>
        <w:ind w:firstLineChars="200" w:firstLine="643"/>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b/>
          <w:bCs/>
          <w:sz w:val="32"/>
          <w:szCs w:val="32"/>
        </w:rPr>
        <w:t>第七条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bidi="zh-CN"/>
        </w:rPr>
        <w:t>总部相关部门按照职责及集团管控界面要求开展有关参股管理工作。</w:t>
      </w:r>
    </w:p>
    <w:p w14:paraId="5EA05A7C"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w:t>
      </w:r>
      <w:r>
        <w:rPr>
          <w:rFonts w:ascii="仿宋_GB2312" w:eastAsia="仿宋_GB2312" w:hAnsi="仿宋_GB2312" w:cs="仿宋_GB2312" w:hint="eastAsia"/>
          <w:kern w:val="0"/>
          <w:sz w:val="32"/>
          <w:szCs w:val="32"/>
          <w:lang w:bidi="zh-CN"/>
        </w:rPr>
        <w:t>一</w:t>
      </w:r>
      <w:r>
        <w:rPr>
          <w:rFonts w:ascii="仿宋_GB2312" w:eastAsia="仿宋_GB2312" w:hAnsi="仿宋_GB2312" w:cs="仿宋_GB2312"/>
          <w:kern w:val="0"/>
          <w:sz w:val="32"/>
          <w:szCs w:val="32"/>
          <w:lang w:val="zh-CN" w:bidi="zh-CN"/>
        </w:rPr>
        <w:t>）</w:t>
      </w:r>
      <w:r>
        <w:rPr>
          <w:rFonts w:ascii="仿宋_GB2312" w:eastAsia="仿宋_GB2312" w:hAnsi="仿宋_GB2312" w:cs="仿宋_GB2312" w:hint="eastAsia"/>
          <w:kern w:val="0"/>
          <w:sz w:val="32"/>
          <w:szCs w:val="32"/>
          <w:lang w:val="zh-CN" w:bidi="zh-CN"/>
        </w:rPr>
        <w:t>战略发展部</w:t>
      </w:r>
      <w:r>
        <w:rPr>
          <w:rFonts w:ascii="仿宋_GB2312" w:eastAsia="仿宋_GB2312" w:hAnsi="仿宋_GB2312" w:cs="仿宋_GB2312" w:hint="eastAsia"/>
          <w:kern w:val="0"/>
          <w:sz w:val="32"/>
          <w:szCs w:val="32"/>
          <w:lang w:bidi="zh-CN"/>
        </w:rPr>
        <w:t>负责参股投资的方向性</w:t>
      </w:r>
      <w:proofErr w:type="gramStart"/>
      <w:r>
        <w:rPr>
          <w:rFonts w:ascii="仿宋_GB2312" w:eastAsia="仿宋_GB2312" w:hAnsi="仿宋_GB2312" w:cs="仿宋_GB2312" w:hint="eastAsia"/>
          <w:kern w:val="0"/>
          <w:sz w:val="32"/>
          <w:szCs w:val="32"/>
          <w:lang w:val="zh-CN" w:bidi="zh-CN"/>
        </w:rPr>
        <w:t>研</w:t>
      </w:r>
      <w:proofErr w:type="gramEnd"/>
      <w:r>
        <w:rPr>
          <w:rFonts w:ascii="仿宋_GB2312" w:eastAsia="仿宋_GB2312" w:hAnsi="仿宋_GB2312" w:cs="仿宋_GB2312" w:hint="eastAsia"/>
          <w:kern w:val="0"/>
          <w:sz w:val="32"/>
          <w:szCs w:val="32"/>
          <w:lang w:val="zh-CN" w:bidi="zh-CN"/>
        </w:rPr>
        <w:t>判。</w:t>
      </w:r>
    </w:p>
    <w:p w14:paraId="48BC230F" w14:textId="77777777" w:rsidR="00B358A4" w:rsidRDefault="00000000">
      <w:pPr>
        <w:spacing w:line="520" w:lineRule="exact"/>
        <w:ind w:firstLineChars="200" w:firstLine="640"/>
        <w:rPr>
          <w:rFonts w:ascii="仿宋_GB2312" w:eastAsia="仿宋_GB2312"/>
          <w:sz w:val="32"/>
          <w:szCs w:val="32"/>
          <w:lang w:val="zh-CN"/>
        </w:rPr>
      </w:pPr>
      <w:r>
        <w:rPr>
          <w:rFonts w:ascii="仿宋_GB2312" w:eastAsia="仿宋_GB2312" w:hAnsi="仿宋_GB2312" w:cs="仿宋_GB2312" w:hint="eastAsia"/>
          <w:kern w:val="0"/>
          <w:sz w:val="32"/>
          <w:szCs w:val="32"/>
          <w:lang w:val="zh-CN" w:bidi="zh-CN"/>
        </w:rPr>
        <w:t>（</w:t>
      </w:r>
      <w:r>
        <w:rPr>
          <w:rFonts w:ascii="仿宋_GB2312" w:eastAsia="仿宋_GB2312" w:hAnsi="仿宋_GB2312" w:cs="仿宋_GB2312" w:hint="eastAsia"/>
          <w:kern w:val="0"/>
          <w:sz w:val="32"/>
          <w:szCs w:val="32"/>
          <w:lang w:bidi="zh-CN"/>
        </w:rPr>
        <w:t>二</w:t>
      </w:r>
      <w:r>
        <w:rPr>
          <w:rFonts w:ascii="仿宋_GB2312" w:eastAsia="仿宋_GB2312" w:hAnsi="仿宋_GB2312" w:cs="仿宋_GB2312" w:hint="eastAsia"/>
          <w:kern w:val="0"/>
          <w:sz w:val="32"/>
          <w:szCs w:val="32"/>
          <w:lang w:val="zh-CN" w:bidi="zh-CN"/>
        </w:rPr>
        <w:t>）科技管理部</w:t>
      </w:r>
      <w:r>
        <w:rPr>
          <w:rFonts w:ascii="仿宋_GB2312" w:eastAsia="仿宋_GB2312" w:hAnsi="仿宋_GB2312" w:cs="仿宋_GB2312" w:hint="eastAsia"/>
          <w:kern w:val="0"/>
          <w:sz w:val="32"/>
          <w:szCs w:val="32"/>
          <w:lang w:bidi="zh-CN"/>
        </w:rPr>
        <w:t>负责</w:t>
      </w:r>
      <w:r>
        <w:rPr>
          <w:rFonts w:ascii="仿宋_GB2312" w:eastAsia="仿宋_GB2312" w:hAnsi="仿宋_GB2312" w:cs="仿宋_GB2312" w:hint="eastAsia"/>
          <w:kern w:val="0"/>
          <w:sz w:val="32"/>
          <w:szCs w:val="32"/>
          <w:lang w:val="zh-CN" w:bidi="zh-CN"/>
        </w:rPr>
        <w:t>协调</w:t>
      </w:r>
      <w:r>
        <w:rPr>
          <w:rFonts w:ascii="仿宋_GB2312" w:eastAsia="仿宋_GB2312" w:hint="eastAsia"/>
          <w:sz w:val="32"/>
          <w:szCs w:val="32"/>
        </w:rPr>
        <w:t>集团内部专家</w:t>
      </w:r>
      <w:r>
        <w:rPr>
          <w:rFonts w:ascii="仿宋_GB2312" w:eastAsia="仿宋_GB2312"/>
          <w:sz w:val="32"/>
          <w:szCs w:val="32"/>
        </w:rPr>
        <w:t>提供技术</w:t>
      </w:r>
      <w:r>
        <w:rPr>
          <w:rFonts w:ascii="仿宋_GB2312" w:eastAsia="仿宋_GB2312" w:hint="eastAsia"/>
          <w:sz w:val="32"/>
          <w:szCs w:val="32"/>
        </w:rPr>
        <w:t>和产业方面的支持和服务。</w:t>
      </w:r>
    </w:p>
    <w:p w14:paraId="7499D262"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w:t>
      </w:r>
      <w:r>
        <w:rPr>
          <w:rFonts w:ascii="仿宋_GB2312" w:eastAsia="仿宋_GB2312" w:hAnsi="仿宋_GB2312" w:cs="仿宋_GB2312" w:hint="eastAsia"/>
          <w:kern w:val="0"/>
          <w:sz w:val="32"/>
          <w:szCs w:val="32"/>
          <w:lang w:bidi="zh-CN"/>
        </w:rPr>
        <w:t>三</w:t>
      </w:r>
      <w:r>
        <w:rPr>
          <w:rFonts w:ascii="仿宋_GB2312" w:eastAsia="仿宋_GB2312" w:hAnsi="仿宋_GB2312" w:cs="仿宋_GB2312" w:hint="eastAsia"/>
          <w:kern w:val="0"/>
          <w:sz w:val="32"/>
          <w:szCs w:val="32"/>
          <w:lang w:val="zh-CN" w:bidi="zh-CN"/>
        </w:rPr>
        <w:t>）财务管理部</w:t>
      </w:r>
      <w:r>
        <w:rPr>
          <w:rFonts w:ascii="仿宋_GB2312" w:eastAsia="仿宋_GB2312" w:hAnsi="仿宋_GB2312" w:cs="仿宋_GB2312" w:hint="eastAsia"/>
          <w:kern w:val="0"/>
          <w:sz w:val="32"/>
          <w:szCs w:val="32"/>
          <w:lang w:bidi="zh-CN"/>
        </w:rPr>
        <w:t>负责提供</w:t>
      </w:r>
      <w:r>
        <w:rPr>
          <w:rFonts w:ascii="仿宋_GB2312" w:eastAsia="仿宋_GB2312" w:hAnsi="仿宋_GB2312" w:cs="仿宋_GB2312" w:hint="eastAsia"/>
          <w:kern w:val="0"/>
          <w:sz w:val="32"/>
          <w:szCs w:val="32"/>
          <w:lang w:val="zh-CN" w:bidi="zh-CN"/>
        </w:rPr>
        <w:t>财务分析、</w:t>
      </w:r>
      <w:r>
        <w:rPr>
          <w:rFonts w:ascii="仿宋_GB2312" w:eastAsia="仿宋_GB2312" w:hAnsi="仿宋_GB2312" w:cs="仿宋_GB2312" w:hint="eastAsia"/>
          <w:kern w:val="0"/>
          <w:sz w:val="32"/>
          <w:szCs w:val="32"/>
          <w:lang w:bidi="zh-CN"/>
        </w:rPr>
        <w:t>财务风险监督、股权退出</w:t>
      </w:r>
      <w:r>
        <w:rPr>
          <w:rFonts w:ascii="仿宋_GB2312" w:eastAsia="仿宋_GB2312" w:hAnsi="仿宋_GB2312" w:cs="仿宋_GB2312" w:hint="eastAsia"/>
          <w:kern w:val="0"/>
          <w:sz w:val="32"/>
          <w:szCs w:val="32"/>
          <w:lang w:val="zh-CN" w:bidi="zh-CN"/>
        </w:rPr>
        <w:t>税务筹划</w:t>
      </w:r>
      <w:r>
        <w:rPr>
          <w:rFonts w:ascii="仿宋_GB2312" w:eastAsia="仿宋_GB2312" w:hAnsi="仿宋_GB2312" w:cs="仿宋_GB2312" w:hint="eastAsia"/>
          <w:kern w:val="0"/>
          <w:sz w:val="32"/>
          <w:szCs w:val="32"/>
          <w:lang w:bidi="zh-CN"/>
        </w:rPr>
        <w:t>等方面</w:t>
      </w:r>
      <w:r>
        <w:rPr>
          <w:rFonts w:ascii="仿宋_GB2312" w:eastAsia="仿宋_GB2312" w:hAnsi="仿宋_GB2312" w:cs="仿宋_GB2312" w:hint="eastAsia"/>
          <w:kern w:val="0"/>
          <w:sz w:val="32"/>
          <w:szCs w:val="32"/>
          <w:lang w:val="zh-CN" w:bidi="zh-CN"/>
        </w:rPr>
        <w:t>支持和</w:t>
      </w:r>
      <w:r>
        <w:rPr>
          <w:rFonts w:ascii="仿宋_GB2312" w:eastAsia="仿宋_GB2312" w:hAnsi="仿宋_GB2312" w:cs="仿宋_GB2312" w:hint="eastAsia"/>
          <w:kern w:val="0"/>
          <w:sz w:val="32"/>
          <w:szCs w:val="32"/>
          <w:lang w:bidi="zh-CN"/>
        </w:rPr>
        <w:t>服务</w:t>
      </w:r>
      <w:r>
        <w:rPr>
          <w:rFonts w:ascii="仿宋_GB2312" w:eastAsia="仿宋_GB2312" w:hAnsi="仿宋_GB2312" w:cs="仿宋_GB2312" w:hint="eastAsia"/>
          <w:kern w:val="0"/>
          <w:sz w:val="32"/>
          <w:szCs w:val="32"/>
          <w:lang w:val="zh-CN" w:bidi="zh-CN"/>
        </w:rPr>
        <w:t>。</w:t>
      </w:r>
    </w:p>
    <w:p w14:paraId="4C28F4EF"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w:t>
      </w:r>
      <w:r>
        <w:rPr>
          <w:rFonts w:ascii="仿宋_GB2312" w:eastAsia="仿宋_GB2312" w:hAnsi="仿宋_GB2312" w:cs="仿宋_GB2312" w:hint="eastAsia"/>
          <w:kern w:val="0"/>
          <w:sz w:val="32"/>
          <w:szCs w:val="32"/>
          <w:lang w:bidi="zh-CN"/>
        </w:rPr>
        <w:t>四</w:t>
      </w:r>
      <w:r>
        <w:rPr>
          <w:rFonts w:ascii="仿宋_GB2312" w:eastAsia="仿宋_GB2312" w:hAnsi="仿宋_GB2312" w:cs="仿宋_GB2312" w:hint="eastAsia"/>
          <w:kern w:val="0"/>
          <w:sz w:val="32"/>
          <w:szCs w:val="32"/>
          <w:lang w:val="zh-CN" w:bidi="zh-CN"/>
        </w:rPr>
        <w:t>）法</w:t>
      </w:r>
      <w:proofErr w:type="gramStart"/>
      <w:r>
        <w:rPr>
          <w:rFonts w:ascii="仿宋_GB2312" w:eastAsia="仿宋_GB2312" w:hAnsi="仿宋_GB2312" w:cs="仿宋_GB2312" w:hint="eastAsia"/>
          <w:kern w:val="0"/>
          <w:sz w:val="32"/>
          <w:szCs w:val="32"/>
          <w:lang w:val="zh-CN" w:bidi="zh-CN"/>
        </w:rPr>
        <w:t>务</w:t>
      </w:r>
      <w:proofErr w:type="gramEnd"/>
      <w:r>
        <w:rPr>
          <w:rFonts w:ascii="仿宋_GB2312" w:eastAsia="仿宋_GB2312" w:hAnsi="仿宋_GB2312" w:cs="仿宋_GB2312" w:hint="eastAsia"/>
          <w:kern w:val="0"/>
          <w:sz w:val="32"/>
          <w:szCs w:val="32"/>
          <w:lang w:val="zh-CN" w:bidi="zh-CN"/>
        </w:rPr>
        <w:t>审计部</w:t>
      </w:r>
      <w:r>
        <w:rPr>
          <w:rFonts w:ascii="仿宋_GB2312" w:eastAsia="仿宋_GB2312" w:hAnsi="仿宋_GB2312" w:cs="仿宋_GB2312" w:hint="eastAsia"/>
          <w:kern w:val="0"/>
          <w:sz w:val="32"/>
          <w:szCs w:val="32"/>
          <w:lang w:bidi="zh-CN"/>
        </w:rPr>
        <w:t>负责提供</w:t>
      </w:r>
      <w:r>
        <w:rPr>
          <w:rFonts w:ascii="仿宋_GB2312" w:eastAsia="仿宋_GB2312" w:hAnsi="仿宋_GB2312" w:cs="仿宋_GB2312" w:hint="eastAsia"/>
          <w:sz w:val="32"/>
          <w:szCs w:val="32"/>
          <w:lang w:bidi="zh-CN"/>
        </w:rPr>
        <w:t>法</w:t>
      </w:r>
      <w:proofErr w:type="gramStart"/>
      <w:r>
        <w:rPr>
          <w:rFonts w:ascii="仿宋_GB2312" w:eastAsia="仿宋_GB2312" w:hAnsi="仿宋_GB2312" w:cs="仿宋_GB2312" w:hint="eastAsia"/>
          <w:sz w:val="32"/>
          <w:szCs w:val="32"/>
          <w:lang w:bidi="zh-CN"/>
        </w:rPr>
        <w:t>务</w:t>
      </w:r>
      <w:proofErr w:type="gramEnd"/>
      <w:r>
        <w:rPr>
          <w:rFonts w:ascii="仿宋_GB2312" w:eastAsia="仿宋_GB2312" w:hAnsi="仿宋_GB2312" w:cs="仿宋_GB2312" w:hint="eastAsia"/>
          <w:sz w:val="32"/>
          <w:szCs w:val="32"/>
          <w:lang w:bidi="zh-CN"/>
        </w:rPr>
        <w:t>支持和服务，根据规定</w:t>
      </w:r>
      <w:r>
        <w:rPr>
          <w:rFonts w:ascii="仿宋_GB2312" w:eastAsia="仿宋_GB2312" w:hAnsi="仿宋_GB2312" w:cs="仿宋_GB2312" w:hint="eastAsia"/>
          <w:sz w:val="32"/>
          <w:szCs w:val="32"/>
        </w:rPr>
        <w:t>对参股投资主体实施的参股经营投资行为</w:t>
      </w:r>
      <w:r>
        <w:rPr>
          <w:rFonts w:ascii="仿宋_GB2312" w:eastAsia="仿宋_GB2312" w:hAnsi="仿宋_GB2312" w:cs="仿宋_GB2312" w:hint="eastAsia"/>
          <w:sz w:val="32"/>
          <w:szCs w:val="32"/>
          <w:lang w:bidi="zh-CN"/>
        </w:rPr>
        <w:t>开展审计监督</w:t>
      </w:r>
      <w:r>
        <w:rPr>
          <w:rFonts w:ascii="仿宋_GB2312" w:eastAsia="仿宋_GB2312" w:hAnsi="仿宋_GB2312" w:cs="仿宋_GB2312" w:hint="eastAsia"/>
          <w:kern w:val="0"/>
          <w:sz w:val="32"/>
          <w:szCs w:val="32"/>
          <w:lang w:val="zh-CN" w:bidi="zh-CN"/>
        </w:rPr>
        <w:t>。</w:t>
      </w:r>
    </w:p>
    <w:p w14:paraId="5A494E10"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（五）组织人事部负责股东代表、董事、监事（审计委员会成员）等人员的委派（下称委派人员）。</w:t>
      </w:r>
    </w:p>
    <w:p w14:paraId="4944A277"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sz w:val="32"/>
          <w:szCs w:val="32"/>
        </w:rPr>
        <w:t>（六）董事会办公室负责委派人员的归口管理。</w:t>
      </w:r>
    </w:p>
    <w:p w14:paraId="69198339"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第八条</w:t>
      </w:r>
      <w:r>
        <w:rPr>
          <w:rFonts w:ascii="仿宋_GB2312" w:eastAsia="仿宋_GB2312" w:hAnsi="仿宋_GB2312" w:cs="仿宋_GB2312" w:hint="eastAsia"/>
          <w:sz w:val="32"/>
          <w:szCs w:val="32"/>
        </w:rPr>
        <w:t xml:space="preserve"> 参股投资主体在参股管理中主要职责包括：</w:t>
      </w:r>
    </w:p>
    <w:p w14:paraId="12CC134D" w14:textId="77777777" w:rsidR="00B358A4" w:rsidRDefault="00000000">
      <w:pPr>
        <w:tabs>
          <w:tab w:val="left" w:pos="2324"/>
        </w:tabs>
        <w:autoSpaceDE w:val="0"/>
        <w:autoSpaceDN w:val="0"/>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（一）会同总部开展参股投资。</w:t>
      </w:r>
    </w:p>
    <w:p w14:paraId="3A0D3289"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（二）负责实施</w:t>
      </w:r>
      <w:r>
        <w:rPr>
          <w:rFonts w:ascii="仿宋_GB2312" w:eastAsia="仿宋_GB2312" w:hint="eastAsia"/>
          <w:sz w:val="32"/>
          <w:szCs w:val="32"/>
        </w:rPr>
        <w:t>投后管理工作，进行</w:t>
      </w:r>
      <w:r>
        <w:rPr>
          <w:rFonts w:ascii="仿宋_GB2312" w:eastAsia="仿宋_GB2312" w:hAnsi="仿宋_GB2312" w:cs="仿宋_GB2312" w:hint="eastAsia"/>
          <w:sz w:val="32"/>
          <w:szCs w:val="32"/>
        </w:rPr>
        <w:t>参股企业的日常信息收集和经营情况跟踪，对重大事项提出应对处置建议，依据公司章程规定的权责履行审批流程。</w:t>
      </w:r>
    </w:p>
    <w:p w14:paraId="27588923"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（三）总</w:t>
      </w:r>
      <w:r>
        <w:rPr>
          <w:rFonts w:ascii="仿宋_GB2312" w:eastAsia="仿宋_GB2312" w:hint="eastAsia"/>
          <w:sz w:val="32"/>
          <w:szCs w:val="32"/>
        </w:rPr>
        <w:t>部作为参股投资主体时，相关工作由资本运营部牵头负责</w:t>
      </w:r>
      <w:r>
        <w:rPr>
          <w:rFonts w:ascii="仿宋_GB2312" w:eastAsia="仿宋_GB2312" w:hAnsi="仿宋_GB2312" w:cs="仿宋_GB2312" w:hint="eastAsia"/>
          <w:sz w:val="32"/>
          <w:szCs w:val="32"/>
          <w:lang w:bidi="zh-CN"/>
        </w:rPr>
        <w:t>。</w:t>
      </w:r>
    </w:p>
    <w:p w14:paraId="0A91D59D" w14:textId="77777777" w:rsidR="00B358A4" w:rsidRDefault="00000000">
      <w:pPr>
        <w:pStyle w:val="1"/>
        <w:spacing w:before="260" w:after="260" w:line="520" w:lineRule="exact"/>
        <w:jc w:val="center"/>
        <w:rPr>
          <w:rFonts w:ascii="黑体" w:eastAsia="黑体" w:hAnsi="黑体" w:cs="黑体" w:hint="eastAsia"/>
          <w:sz w:val="32"/>
          <w:szCs w:val="32"/>
        </w:rPr>
      </w:pPr>
      <w:bookmarkStart w:id="9" w:name="_Toc172625166"/>
      <w:r>
        <w:rPr>
          <w:rFonts w:ascii="黑体" w:eastAsia="黑体" w:hAnsi="黑体" w:cs="黑体" w:hint="eastAsia"/>
          <w:b w:val="0"/>
          <w:bCs w:val="0"/>
          <w:sz w:val="32"/>
          <w:szCs w:val="32"/>
        </w:rPr>
        <w:t>第三章  参股投资管理</w:t>
      </w:r>
      <w:bookmarkEnd w:id="9"/>
    </w:p>
    <w:p w14:paraId="17BCAFF8" w14:textId="77777777" w:rsidR="00B358A4" w:rsidRDefault="00000000">
      <w:pPr>
        <w:spacing w:line="520" w:lineRule="exact"/>
        <w:ind w:firstLineChars="200" w:firstLine="643"/>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b/>
          <w:bCs/>
          <w:sz w:val="32"/>
          <w:szCs w:val="32"/>
        </w:rPr>
        <w:t>第九条</w:t>
      </w:r>
      <w:r>
        <w:rPr>
          <w:rFonts w:ascii="仿宋_GB2312" w:eastAsia="仿宋_GB2312" w:hAnsi="仿宋_GB2312" w:cs="仿宋_GB2312"/>
          <w:b/>
          <w:bCs/>
          <w:sz w:val="32"/>
          <w:szCs w:val="32"/>
        </w:rPr>
        <w:t xml:space="preserve"> </w:t>
      </w:r>
      <w:r>
        <w:rPr>
          <w:rFonts w:ascii="仿宋_GB2312" w:eastAsia="仿宋_GB2312" w:hAnsi="仿宋_GB2312" w:cs="仿宋_GB2312" w:hint="eastAsia"/>
          <w:kern w:val="0"/>
          <w:sz w:val="32"/>
          <w:szCs w:val="32"/>
          <w:lang w:bidi="zh-CN"/>
        </w:rPr>
        <w:t>参股投资包括但不限于以投资新设、增资入股、受让股权等方式成为参股企业股东的情形。</w:t>
      </w:r>
    </w:p>
    <w:p w14:paraId="3CB77EF5"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kern w:val="0"/>
          <w:sz w:val="32"/>
          <w:szCs w:val="32"/>
          <w:lang w:bidi="zh-CN"/>
        </w:rPr>
        <w:t>参股投资的</w:t>
      </w:r>
      <w:r>
        <w:rPr>
          <w:rFonts w:ascii="仿宋_GB2312" w:eastAsia="仿宋_GB2312" w:hAnsi="仿宋_GB2312" w:cs="仿宋_GB2312" w:hint="eastAsia"/>
          <w:kern w:val="0"/>
          <w:sz w:val="32"/>
          <w:szCs w:val="32"/>
          <w:lang w:val="zh-CN" w:bidi="zh-CN"/>
        </w:rPr>
        <w:t>实施流程、</w:t>
      </w:r>
      <w:r>
        <w:rPr>
          <w:rFonts w:ascii="仿宋_GB2312" w:eastAsia="仿宋_GB2312" w:hAnsi="仿宋_GB2312" w:cs="仿宋_GB2312" w:hint="eastAsia"/>
          <w:kern w:val="0"/>
          <w:sz w:val="32"/>
          <w:szCs w:val="32"/>
          <w:lang w:bidi="zh-CN"/>
        </w:rPr>
        <w:t>决策机构</w:t>
      </w:r>
      <w:r>
        <w:rPr>
          <w:rFonts w:ascii="仿宋_GB2312" w:eastAsia="仿宋_GB2312" w:hAnsi="仿宋_GB2312" w:cs="仿宋_GB2312" w:hint="eastAsia"/>
          <w:kern w:val="0"/>
          <w:sz w:val="32"/>
          <w:szCs w:val="32"/>
          <w:lang w:val="zh-CN" w:bidi="zh-CN"/>
        </w:rPr>
        <w:t>和决策权限严格按照</w:t>
      </w:r>
      <w:r>
        <w:rPr>
          <w:rFonts w:ascii="仿宋_GB2312" w:eastAsia="仿宋_GB2312" w:hAnsi="仿宋_GB2312" w:cs="仿宋_GB2312" w:hint="eastAsia"/>
          <w:kern w:val="0"/>
          <w:sz w:val="32"/>
          <w:szCs w:val="32"/>
          <w:lang w:bidi="zh-CN"/>
        </w:rPr>
        <w:t>《四川</w:t>
      </w:r>
      <w:proofErr w:type="gramStart"/>
      <w:r>
        <w:rPr>
          <w:rFonts w:ascii="仿宋_GB2312" w:eastAsia="仿宋_GB2312" w:hAnsi="仿宋_GB2312" w:cs="仿宋_GB2312" w:hint="eastAsia"/>
          <w:kern w:val="0"/>
          <w:sz w:val="32"/>
          <w:szCs w:val="32"/>
          <w:lang w:val="zh-CN" w:bidi="zh-CN"/>
        </w:rPr>
        <w:t>九洲</w:t>
      </w:r>
      <w:proofErr w:type="gramEnd"/>
      <w:r>
        <w:rPr>
          <w:rFonts w:ascii="仿宋_GB2312" w:eastAsia="仿宋_GB2312" w:hAnsi="仿宋_GB2312" w:cs="仿宋_GB2312" w:hint="eastAsia"/>
          <w:kern w:val="0"/>
          <w:sz w:val="32"/>
          <w:szCs w:val="32"/>
          <w:lang w:val="zh-CN" w:bidi="zh-CN"/>
        </w:rPr>
        <w:t>投资控股集团有限</w:t>
      </w:r>
      <w:r>
        <w:rPr>
          <w:rFonts w:ascii="仿宋_GB2312" w:eastAsia="仿宋_GB2312" w:hAnsi="仿宋_GB2312" w:cs="仿宋_GB2312" w:hint="eastAsia"/>
          <w:kern w:val="0"/>
          <w:sz w:val="32"/>
          <w:szCs w:val="32"/>
          <w:lang w:bidi="zh-CN"/>
        </w:rPr>
        <w:t>公司</w:t>
      </w:r>
      <w:r>
        <w:rPr>
          <w:rFonts w:ascii="仿宋_GB2312" w:eastAsia="仿宋_GB2312" w:hAnsi="仿宋_GB2312" w:cs="仿宋_GB2312" w:hint="eastAsia"/>
          <w:kern w:val="0"/>
          <w:sz w:val="32"/>
          <w:szCs w:val="32"/>
          <w:lang w:val="zh-CN" w:bidi="zh-CN"/>
        </w:rPr>
        <w:t>股权投资管理办法》</w:t>
      </w:r>
      <w:r>
        <w:rPr>
          <w:rFonts w:ascii="仿宋_GB2312" w:eastAsia="仿宋_GB2312" w:hAnsi="仿宋_GB2312" w:cs="仿宋_GB2312" w:hint="eastAsia"/>
          <w:kern w:val="0"/>
          <w:sz w:val="32"/>
          <w:szCs w:val="32"/>
          <w:lang w:bidi="zh-CN"/>
        </w:rPr>
        <w:t>等</w:t>
      </w:r>
      <w:r>
        <w:rPr>
          <w:rFonts w:ascii="仿宋_GB2312" w:eastAsia="仿宋_GB2312" w:hAnsi="仿宋_GB2312" w:cs="仿宋_GB2312" w:hint="eastAsia"/>
          <w:kern w:val="0"/>
          <w:sz w:val="32"/>
          <w:szCs w:val="32"/>
          <w:lang w:val="zh-CN" w:bidi="zh-CN"/>
        </w:rPr>
        <w:t>相关规定执行</w:t>
      </w:r>
      <w:r>
        <w:rPr>
          <w:rFonts w:ascii="仿宋_GB2312" w:eastAsia="仿宋_GB2312" w:hAnsi="仿宋_GB2312" w:cs="仿宋_GB2312" w:hint="eastAsia"/>
          <w:kern w:val="0"/>
          <w:sz w:val="32"/>
          <w:szCs w:val="32"/>
          <w:lang w:bidi="zh-CN"/>
        </w:rPr>
        <w:t>。</w:t>
      </w:r>
    </w:p>
    <w:p w14:paraId="668E49E1" w14:textId="77777777" w:rsidR="00B358A4" w:rsidRDefault="00000000">
      <w:pPr>
        <w:spacing w:line="520" w:lineRule="exact"/>
        <w:ind w:firstLineChars="200" w:firstLine="643"/>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b/>
          <w:bCs/>
          <w:kern w:val="0"/>
          <w:sz w:val="32"/>
          <w:szCs w:val="32"/>
          <w:lang w:bidi="zh-CN"/>
        </w:rPr>
        <w:t>第十条</w:t>
      </w:r>
      <w:r>
        <w:rPr>
          <w:rFonts w:ascii="仿宋_GB2312" w:eastAsia="仿宋_GB2312" w:hAnsi="仿宋_GB2312" w:cs="仿宋_GB2312" w:hint="eastAsia"/>
          <w:kern w:val="0"/>
          <w:sz w:val="32"/>
          <w:szCs w:val="32"/>
          <w:lang w:bidi="zh-CN"/>
        </w:rPr>
        <w:t xml:space="preserve"> 集团应聚焦主业，严格控制参股类投资，参股投资目的应清晰明确。</w:t>
      </w:r>
    </w:p>
    <w:p w14:paraId="7BB52483"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kern w:val="0"/>
          <w:sz w:val="32"/>
          <w:szCs w:val="32"/>
          <w:lang w:bidi="zh-CN"/>
        </w:rPr>
        <w:t>（一）总部除参与基金组建外，原则上不实施参股投资。</w:t>
      </w:r>
    </w:p>
    <w:p w14:paraId="6F46A561"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（二）下属</w:t>
      </w:r>
      <w:r>
        <w:rPr>
          <w:rFonts w:ascii="仿宋_GB2312" w:eastAsia="仿宋_GB2312" w:hAnsi="仿宋_GB2312" w:cs="仿宋_GB2312" w:hint="eastAsia"/>
          <w:kern w:val="0"/>
          <w:sz w:val="32"/>
          <w:szCs w:val="32"/>
          <w:lang w:bidi="zh-CN"/>
        </w:rPr>
        <w:t>企业</w:t>
      </w:r>
      <w:r>
        <w:rPr>
          <w:rFonts w:ascii="仿宋_GB2312" w:eastAsia="仿宋_GB2312" w:hAnsi="仿宋_GB2312" w:cs="仿宋_GB2312" w:hint="eastAsia"/>
          <w:kern w:val="0"/>
          <w:sz w:val="32"/>
          <w:szCs w:val="32"/>
          <w:lang w:val="zh-CN" w:bidi="zh-CN"/>
        </w:rPr>
        <w:t>因产业发展需要，在不具备控股投资条件的前提下，可适当开展产业类参股投资。</w:t>
      </w:r>
    </w:p>
    <w:p w14:paraId="04437ABF"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（三）财务类参股投资，由四川九洲创业投资有限责任公司或四川</w:t>
      </w:r>
      <w:proofErr w:type="gramStart"/>
      <w:r>
        <w:rPr>
          <w:rFonts w:ascii="仿宋_GB2312" w:eastAsia="仿宋_GB2312" w:hAnsi="仿宋_GB2312" w:cs="仿宋_GB2312" w:hint="eastAsia"/>
          <w:kern w:val="0"/>
          <w:sz w:val="32"/>
          <w:szCs w:val="32"/>
          <w:lang w:val="zh-CN" w:bidi="zh-CN"/>
        </w:rPr>
        <w:t>九洲</w:t>
      </w:r>
      <w:proofErr w:type="gramEnd"/>
      <w:r>
        <w:rPr>
          <w:rFonts w:ascii="仿宋_GB2312" w:eastAsia="仿宋_GB2312" w:hAnsi="仿宋_GB2312" w:cs="仿宋_GB2312" w:hint="eastAsia"/>
          <w:kern w:val="0"/>
          <w:sz w:val="32"/>
          <w:szCs w:val="32"/>
          <w:lang w:val="zh-CN" w:bidi="zh-CN"/>
        </w:rPr>
        <w:t>君合私募基金管理有限公司管理的基金实施。</w:t>
      </w:r>
    </w:p>
    <w:p w14:paraId="2BC89248"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val="zh-CN" w:bidi="zh-CN"/>
        </w:rPr>
      </w:pPr>
      <w:r>
        <w:rPr>
          <w:rFonts w:ascii="仿宋_GB2312" w:eastAsia="仿宋_GB2312" w:hAnsi="仿宋_GB2312" w:cs="仿宋_GB2312" w:hint="eastAsia"/>
          <w:kern w:val="0"/>
          <w:sz w:val="32"/>
          <w:szCs w:val="32"/>
          <w:lang w:val="zh-CN" w:bidi="zh-CN"/>
        </w:rPr>
        <w:t>（四）政策性参股投资，原则上应取得政府相关文件作为支撑，</w:t>
      </w:r>
      <w:r>
        <w:rPr>
          <w:rFonts w:ascii="仿宋_GB2312" w:eastAsia="仿宋_GB2312" w:cs="仿宋_GB2312"/>
          <w:kern w:val="0"/>
          <w:sz w:val="32"/>
          <w:szCs w:val="32"/>
          <w:lang w:bidi="ar"/>
        </w:rPr>
        <w:t>由总部资本运营部履行集团投资决策流程确定合适参与主体</w:t>
      </w:r>
      <w:r>
        <w:rPr>
          <w:rFonts w:ascii="仿宋_GB2312" w:eastAsia="仿宋_GB2312" w:hAnsi="仿宋_GB2312" w:cs="仿宋_GB2312" w:hint="eastAsia"/>
          <w:kern w:val="0"/>
          <w:sz w:val="32"/>
          <w:szCs w:val="32"/>
          <w:lang w:val="zh-CN" w:bidi="zh-CN"/>
        </w:rPr>
        <w:t>。</w:t>
      </w:r>
    </w:p>
    <w:p w14:paraId="48A0A408" w14:textId="7B754620" w:rsidR="00B358A4" w:rsidRDefault="00000000">
      <w:pPr>
        <w:numPr>
          <w:ilvl w:val="255"/>
          <w:numId w:val="0"/>
        </w:num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b/>
          <w:bCs/>
          <w:sz w:val="32"/>
          <w:szCs w:val="32"/>
        </w:rPr>
        <w:t xml:space="preserve"> </w:t>
      </w:r>
      <w:r>
        <w:rPr>
          <w:rFonts w:ascii="仿宋_GB2312" w:eastAsia="仿宋_GB2312" w:hAnsi="仿宋_GB2312" w:cs="仿宋_GB2312"/>
          <w:sz w:val="32"/>
          <w:szCs w:val="32"/>
        </w:rPr>
        <w:t>参股投资主体应</w:t>
      </w:r>
      <w:r>
        <w:rPr>
          <w:rFonts w:ascii="仿宋_GB2312" w:eastAsia="仿宋_GB2312" w:hAnsi="仿宋_GB2312" w:cs="仿宋_GB2312" w:hint="eastAsia"/>
          <w:sz w:val="32"/>
          <w:szCs w:val="32"/>
        </w:rPr>
        <w:t>在资本运营部组织下制定</w:t>
      </w:r>
      <w:r>
        <w:rPr>
          <w:rFonts w:ascii="仿宋_GB2312" w:eastAsia="仿宋_GB2312" w:hAnsi="仿宋_GB2312" w:cs="仿宋_GB2312"/>
          <w:sz w:val="32"/>
          <w:szCs w:val="32"/>
        </w:rPr>
        <w:t>参股投资方案</w:t>
      </w:r>
      <w:bookmarkStart w:id="10" w:name="_Hlk171499752"/>
      <w:r>
        <w:rPr>
          <w:rFonts w:ascii="仿宋_GB2312" w:eastAsia="仿宋_GB2312" w:hAnsi="仿宋_GB2312" w:cs="仿宋_GB2312" w:hint="eastAsia"/>
          <w:sz w:val="32"/>
          <w:szCs w:val="32"/>
        </w:rPr>
        <w:t>，</w:t>
      </w:r>
      <w:r>
        <w:rPr>
          <w:rFonts w:ascii="仿宋_GB2312" w:eastAsia="仿宋_GB2312" w:hAnsi="仿宋_GB2312" w:cs="仿宋_GB2312"/>
          <w:sz w:val="32"/>
          <w:szCs w:val="32"/>
        </w:rPr>
        <w:t>明确被投企业估值、股权比例、</w:t>
      </w:r>
      <w:r>
        <w:rPr>
          <w:rFonts w:ascii="仿宋_GB2312" w:eastAsia="仿宋_GB2312" w:hAnsi="仿宋_GB2312" w:cs="仿宋_GB2312" w:hint="eastAsia"/>
          <w:sz w:val="32"/>
          <w:szCs w:val="32"/>
        </w:rPr>
        <w:t>支付安排</w:t>
      </w:r>
      <w:r>
        <w:rPr>
          <w:rFonts w:ascii="仿宋_GB2312" w:eastAsia="仿宋_GB2312" w:hAnsi="仿宋_GB2312" w:cs="仿宋_GB2312"/>
          <w:sz w:val="32"/>
          <w:szCs w:val="32"/>
        </w:rPr>
        <w:t>、人员委派</w:t>
      </w:r>
      <w:r>
        <w:rPr>
          <w:rFonts w:ascii="仿宋_GB2312" w:eastAsia="仿宋_GB2312" w:hAnsi="仿宋_GB2312" w:cs="仿宋_GB2312" w:hint="eastAsia"/>
          <w:sz w:val="32"/>
          <w:szCs w:val="32"/>
        </w:rPr>
        <w:t>和</w:t>
      </w:r>
      <w:r>
        <w:rPr>
          <w:rFonts w:ascii="仿宋_GB2312" w:eastAsia="仿宋_GB2312" w:hAnsi="仿宋_GB2312" w:cs="仿宋_GB2312"/>
          <w:sz w:val="32"/>
          <w:szCs w:val="32"/>
        </w:rPr>
        <w:t>分红</w:t>
      </w:r>
      <w:r>
        <w:rPr>
          <w:rFonts w:ascii="仿宋_GB2312" w:eastAsia="仿宋_GB2312" w:hAnsi="仿宋_GB2312" w:cs="仿宋_GB2312" w:hint="eastAsia"/>
          <w:sz w:val="32"/>
          <w:szCs w:val="32"/>
        </w:rPr>
        <w:t>等</w:t>
      </w:r>
      <w:r>
        <w:rPr>
          <w:rFonts w:ascii="仿宋_GB2312" w:eastAsia="仿宋_GB2312" w:hAnsi="仿宋_GB2312" w:cs="仿宋_GB2312"/>
          <w:sz w:val="32"/>
          <w:szCs w:val="32"/>
        </w:rPr>
        <w:t>各方权利义务边界</w:t>
      </w:r>
      <w:r>
        <w:rPr>
          <w:rFonts w:ascii="仿宋_GB2312" w:eastAsia="仿宋_GB2312" w:hAnsi="仿宋_GB2312" w:cs="仿宋_GB2312" w:hint="eastAsia"/>
          <w:sz w:val="32"/>
          <w:szCs w:val="32"/>
        </w:rPr>
        <w:t>以及</w:t>
      </w:r>
      <w:r>
        <w:rPr>
          <w:rFonts w:ascii="仿宋_GB2312" w:eastAsia="仿宋_GB2312" w:hAnsi="仿宋_GB2312" w:cs="仿宋_GB2312"/>
          <w:sz w:val="32"/>
          <w:szCs w:val="32"/>
        </w:rPr>
        <w:t>退出路径、风险应急处置预案</w:t>
      </w:r>
      <w:r>
        <w:rPr>
          <w:rFonts w:ascii="仿宋_GB2312" w:eastAsia="仿宋_GB2312" w:hAnsi="仿宋_GB2312" w:cs="仿宋_GB2312" w:hint="eastAsia"/>
          <w:sz w:val="32"/>
          <w:szCs w:val="32"/>
        </w:rPr>
        <w:t>等要</w:t>
      </w:r>
      <w:r>
        <w:rPr>
          <w:rFonts w:ascii="仿宋_GB2312" w:eastAsia="仿宋_GB2312" w:hAnsi="仿宋_GB2312" w:cs="仿宋_GB2312" w:hint="eastAsia"/>
          <w:sz w:val="32"/>
          <w:szCs w:val="32"/>
        </w:rPr>
        <w:lastRenderedPageBreak/>
        <w:t>素</w:t>
      </w:r>
      <w:r>
        <w:rPr>
          <w:rFonts w:ascii="仿宋_GB2312" w:eastAsia="仿宋_GB2312" w:hAnsi="仿宋_GB2312" w:cs="仿宋_GB2312"/>
          <w:sz w:val="32"/>
          <w:szCs w:val="32"/>
        </w:rPr>
        <w:t>，并根据投资目的</w:t>
      </w:r>
      <w:r>
        <w:rPr>
          <w:rFonts w:ascii="仿宋_GB2312" w:eastAsia="仿宋_GB2312" w:hAnsi="仿宋_GB2312" w:cs="仿宋_GB2312" w:hint="eastAsia"/>
          <w:sz w:val="32"/>
          <w:szCs w:val="32"/>
        </w:rPr>
        <w:t>选择</w:t>
      </w:r>
      <w:r>
        <w:rPr>
          <w:rFonts w:ascii="仿宋_GB2312" w:eastAsia="仿宋_GB2312" w:hAnsi="仿宋_GB2312" w:cs="仿宋_GB2312"/>
          <w:sz w:val="32"/>
          <w:szCs w:val="32"/>
        </w:rPr>
        <w:t>设置优先认购权</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并购优先权、优先合作权、</w:t>
      </w:r>
      <w:r>
        <w:rPr>
          <w:rFonts w:ascii="仿宋_GB2312" w:eastAsia="仿宋_GB2312" w:hAnsi="仿宋_GB2312" w:cs="仿宋_GB2312" w:hint="eastAsia"/>
          <w:sz w:val="32"/>
          <w:szCs w:val="32"/>
        </w:rPr>
        <w:t>优先清算权</w:t>
      </w:r>
      <w:r>
        <w:rPr>
          <w:rFonts w:ascii="仿宋_GB2312" w:eastAsia="仿宋_GB2312" w:hAnsi="仿宋_GB2312" w:cs="仿宋_GB2312"/>
          <w:sz w:val="32"/>
          <w:szCs w:val="32"/>
        </w:rPr>
        <w:t>、业绩承诺</w:t>
      </w:r>
      <w:r>
        <w:rPr>
          <w:rFonts w:ascii="仿宋_GB2312" w:eastAsia="仿宋_GB2312" w:hAnsi="仿宋_GB2312" w:cs="仿宋_GB2312" w:hint="eastAsia"/>
          <w:sz w:val="32"/>
          <w:szCs w:val="32"/>
        </w:rPr>
        <w:t>及保障</w:t>
      </w:r>
      <w:r>
        <w:rPr>
          <w:rFonts w:ascii="仿宋_GB2312" w:eastAsia="仿宋_GB2312" w:hAnsi="仿宋_GB2312" w:cs="仿宋_GB2312"/>
          <w:sz w:val="32"/>
          <w:szCs w:val="32"/>
        </w:rPr>
        <w:t>、特定事项否决权等特殊权利。集团合计持有参股企业股权比例达到10%以上的,应当争取</w:t>
      </w:r>
      <w:r>
        <w:rPr>
          <w:rFonts w:ascii="仿宋_GB2312" w:eastAsia="仿宋_GB2312" w:hAnsi="仿宋_GB2312" w:cs="仿宋_GB2312" w:hint="eastAsia"/>
          <w:sz w:val="32"/>
          <w:szCs w:val="32"/>
        </w:rPr>
        <w:t>向参股企业</w:t>
      </w:r>
      <w:r>
        <w:rPr>
          <w:rFonts w:ascii="仿宋_GB2312" w:eastAsia="仿宋_GB2312" w:hAnsi="仿宋_GB2312" w:cs="仿宋_GB2312"/>
          <w:sz w:val="32"/>
          <w:szCs w:val="32"/>
        </w:rPr>
        <w:t>提名董事或监事（审计委员会成员）的权利。</w:t>
      </w:r>
    </w:p>
    <w:p w14:paraId="55C19282" w14:textId="77777777" w:rsidR="00B358A4" w:rsidRDefault="00000000">
      <w:pPr>
        <w:pStyle w:val="1"/>
        <w:spacing w:before="260" w:after="260" w:line="520" w:lineRule="exact"/>
        <w:jc w:val="center"/>
        <w:rPr>
          <w:rFonts w:ascii="黑体" w:eastAsia="黑体" w:hAnsi="黑体" w:cs="黑体" w:hint="eastAsia"/>
          <w:b w:val="0"/>
          <w:bCs w:val="0"/>
          <w:sz w:val="32"/>
          <w:szCs w:val="32"/>
        </w:rPr>
      </w:pPr>
      <w:bookmarkStart w:id="11" w:name="_Toc172625167"/>
      <w:bookmarkEnd w:id="10"/>
      <w:r>
        <w:rPr>
          <w:rFonts w:ascii="黑体" w:eastAsia="黑体" w:hAnsi="黑体" w:cs="黑体" w:hint="eastAsia"/>
          <w:b w:val="0"/>
          <w:bCs w:val="0"/>
          <w:sz w:val="32"/>
          <w:szCs w:val="32"/>
        </w:rPr>
        <w:t>第四章  参股股权经营管理</w:t>
      </w:r>
      <w:bookmarkEnd w:id="11"/>
    </w:p>
    <w:p w14:paraId="7E1E69A1"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 xml:space="preserve">第十二条 </w:t>
      </w:r>
      <w:r>
        <w:rPr>
          <w:rFonts w:ascii="仿宋_GB2312" w:eastAsia="仿宋_GB2312" w:hAnsi="仿宋_GB2312" w:cs="仿宋_GB2312" w:hint="eastAsia"/>
          <w:sz w:val="32"/>
          <w:szCs w:val="32"/>
        </w:rPr>
        <w:t>总部资本运营部负责根据参股投资主体提供的项目信息，建立和维护参股</w:t>
      </w:r>
      <w:proofErr w:type="gramStart"/>
      <w:r>
        <w:rPr>
          <w:rFonts w:ascii="仿宋_GB2312" w:eastAsia="仿宋_GB2312" w:hAnsi="仿宋_GB2312" w:cs="仿宋_GB2312" w:hint="eastAsia"/>
          <w:sz w:val="32"/>
          <w:szCs w:val="32"/>
        </w:rPr>
        <w:t>投资台</w:t>
      </w:r>
      <w:proofErr w:type="gramEnd"/>
      <w:r>
        <w:rPr>
          <w:rFonts w:ascii="仿宋_GB2312" w:eastAsia="仿宋_GB2312" w:hAnsi="仿宋_GB2312" w:cs="仿宋_GB2312" w:hint="eastAsia"/>
          <w:sz w:val="32"/>
          <w:szCs w:val="32"/>
        </w:rPr>
        <w:t>账，全面准确掌握参股企业基本情况。</w:t>
      </w:r>
      <w:r>
        <w:rPr>
          <w:rFonts w:ascii="仿宋_GB2312" w:eastAsia="仿宋_GB2312" w:cs="仿宋_GB2312"/>
          <w:sz w:val="32"/>
          <w:szCs w:val="32"/>
          <w:lang w:bidi="ar"/>
        </w:rPr>
        <w:t>在</w:t>
      </w:r>
      <w:proofErr w:type="gramStart"/>
      <w:r>
        <w:rPr>
          <w:rFonts w:ascii="仿宋_GB2312" w:eastAsia="仿宋_GB2312" w:cs="仿宋_GB2312"/>
          <w:sz w:val="32"/>
          <w:szCs w:val="32"/>
          <w:lang w:bidi="ar"/>
        </w:rPr>
        <w:t>投资台</w:t>
      </w:r>
      <w:proofErr w:type="gramEnd"/>
      <w:r>
        <w:rPr>
          <w:rFonts w:ascii="仿宋_GB2312" w:eastAsia="仿宋_GB2312" w:cs="仿宋_GB2312"/>
          <w:sz w:val="32"/>
          <w:szCs w:val="32"/>
          <w:lang w:bidi="ar"/>
        </w:rPr>
        <w:t>账中需明确重要参股企业名单。对集团不具有实际</w:t>
      </w:r>
      <w:proofErr w:type="gramStart"/>
      <w:r>
        <w:rPr>
          <w:rFonts w:ascii="仿宋_GB2312" w:eastAsia="仿宋_GB2312" w:cs="仿宋_GB2312"/>
          <w:sz w:val="32"/>
          <w:szCs w:val="32"/>
          <w:lang w:bidi="ar"/>
        </w:rPr>
        <w:t>控制力但作为</w:t>
      </w:r>
      <w:proofErr w:type="gramEnd"/>
      <w:r>
        <w:rPr>
          <w:rFonts w:ascii="仿宋_GB2312" w:eastAsia="仿宋_GB2312" w:cs="仿宋_GB2312"/>
          <w:sz w:val="32"/>
          <w:szCs w:val="32"/>
          <w:lang w:bidi="ar"/>
        </w:rPr>
        <w:t>第一大股东的参股企业，必须作为重点参股企业管理</w:t>
      </w:r>
      <w:r>
        <w:rPr>
          <w:rFonts w:ascii="仿宋_GB2312" w:eastAsia="仿宋_GB2312" w:hAnsi="仿宋_GB2312" w:cs="仿宋_GB2312" w:hint="eastAsia"/>
          <w:sz w:val="32"/>
          <w:szCs w:val="32"/>
        </w:rPr>
        <w:t>。</w:t>
      </w:r>
    </w:p>
    <w:p w14:paraId="6FC72E9C"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参股</w:t>
      </w:r>
      <w:proofErr w:type="gramStart"/>
      <w:r>
        <w:rPr>
          <w:rFonts w:ascii="仿宋_GB2312" w:eastAsia="仿宋_GB2312" w:hAnsi="仿宋_GB2312" w:cs="仿宋_GB2312" w:hint="eastAsia"/>
          <w:sz w:val="32"/>
          <w:szCs w:val="32"/>
        </w:rPr>
        <w:t>投资台账应</w:t>
      </w:r>
      <w:proofErr w:type="gramEnd"/>
      <w:r>
        <w:rPr>
          <w:rFonts w:ascii="仿宋_GB2312" w:eastAsia="仿宋_GB2312" w:hAnsi="仿宋_GB2312" w:cs="仿宋_GB2312" w:hint="eastAsia"/>
          <w:sz w:val="32"/>
          <w:szCs w:val="32"/>
        </w:rPr>
        <w:t>包含投资目的、参股企业和合作方基本情况、人员委派、经营状况、业务协同、财务情况、分红情况、投后效果等内容。</w:t>
      </w:r>
    </w:p>
    <w:p w14:paraId="475410E1"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参股投资主体应及时收集参股企业经营相关信息，于每年</w:t>
      </w:r>
      <w:r>
        <w:rPr>
          <w:rFonts w:ascii="Arial" w:eastAsia="仿宋_GB2312" w:hAnsi="Arial" w:cs="Arial"/>
          <w:sz w:val="32"/>
          <w:szCs w:val="32"/>
        </w:rPr>
        <w:t>5</w:t>
      </w:r>
      <w:r>
        <w:rPr>
          <w:rFonts w:ascii="仿宋_GB2312" w:eastAsia="仿宋_GB2312" w:hAnsi="仿宋_GB2312" w:cs="仿宋_GB2312" w:hint="eastAsia"/>
          <w:sz w:val="32"/>
          <w:szCs w:val="32"/>
        </w:rPr>
        <w:t>月</w:t>
      </w:r>
      <w:r>
        <w:rPr>
          <w:rFonts w:ascii="Arial" w:eastAsia="仿宋_GB2312" w:hAnsi="Arial" w:cs="Arial"/>
          <w:sz w:val="32"/>
          <w:szCs w:val="32"/>
        </w:rPr>
        <w:t>31</w:t>
      </w:r>
      <w:r>
        <w:rPr>
          <w:rFonts w:ascii="Arial" w:eastAsia="仿宋_GB2312" w:hAnsi="Arial" w:cs="Arial"/>
          <w:sz w:val="32"/>
          <w:szCs w:val="32"/>
        </w:rPr>
        <w:t>日前形成年度投后报告，</w:t>
      </w:r>
      <w:r>
        <w:rPr>
          <w:rFonts w:ascii="Arial" w:eastAsia="仿宋_GB2312" w:hAnsi="Arial" w:cs="Arial"/>
          <w:sz w:val="32"/>
          <w:szCs w:val="32"/>
        </w:rPr>
        <w:t>8</w:t>
      </w:r>
      <w:r>
        <w:rPr>
          <w:rFonts w:ascii="Arial" w:eastAsia="仿宋_GB2312" w:hAnsi="Arial" w:cs="Arial"/>
          <w:sz w:val="32"/>
          <w:szCs w:val="32"/>
        </w:rPr>
        <w:t>月</w:t>
      </w:r>
      <w:r>
        <w:rPr>
          <w:rFonts w:ascii="Arial" w:eastAsia="仿宋_GB2312" w:hAnsi="Arial" w:cs="Arial"/>
          <w:sz w:val="32"/>
          <w:szCs w:val="32"/>
        </w:rPr>
        <w:t>31</w:t>
      </w:r>
      <w:r>
        <w:rPr>
          <w:rFonts w:ascii="Arial" w:eastAsia="仿宋_GB2312" w:hAnsi="Arial" w:cs="Arial"/>
          <w:sz w:val="32"/>
          <w:szCs w:val="32"/>
        </w:rPr>
        <w:t>日前形成半年度投后报告，并报送总部资本运营部。涉及</w:t>
      </w:r>
      <w:r>
        <w:rPr>
          <w:rFonts w:ascii="Arial" w:eastAsia="仿宋_GB2312" w:hAnsi="Arial" w:cs="Arial" w:hint="eastAsia"/>
          <w:sz w:val="32"/>
          <w:szCs w:val="32"/>
        </w:rPr>
        <w:t>参股企业</w:t>
      </w:r>
      <w:r>
        <w:rPr>
          <w:rFonts w:ascii="Arial" w:eastAsia="仿宋_GB2312" w:hAnsi="Arial" w:cs="Arial"/>
          <w:sz w:val="32"/>
          <w:szCs w:val="32"/>
        </w:rPr>
        <w:t>股权变动或重大亏损等特别事项，应当形成专项报告等材料，并于</w:t>
      </w:r>
      <w:r>
        <w:rPr>
          <w:rFonts w:ascii="Arial" w:eastAsia="仿宋_GB2312" w:hAnsi="Arial" w:cs="Arial"/>
          <w:sz w:val="32"/>
          <w:szCs w:val="32"/>
        </w:rPr>
        <w:t>10</w:t>
      </w:r>
      <w:r>
        <w:rPr>
          <w:rFonts w:ascii="Arial" w:eastAsia="仿宋_GB2312" w:hAnsi="Arial" w:cs="Arial"/>
          <w:sz w:val="32"/>
          <w:szCs w:val="32"/>
        </w:rPr>
        <w:t>个工作</w:t>
      </w:r>
      <w:r>
        <w:rPr>
          <w:rFonts w:ascii="仿宋_GB2312" w:eastAsia="仿宋_GB2312" w:hAnsi="仿宋_GB2312" w:cs="仿宋_GB2312" w:hint="eastAsia"/>
          <w:sz w:val="32"/>
          <w:szCs w:val="32"/>
        </w:rPr>
        <w:t>日内报送总部资本运营部。总部作为参股投资主体时，由资本运营部负责收集相关信息并报告。</w:t>
      </w:r>
    </w:p>
    <w:p w14:paraId="7F186B77" w14:textId="77777777" w:rsidR="00B358A4" w:rsidRDefault="00000000">
      <w:pPr>
        <w:spacing w:line="520" w:lineRule="exact"/>
        <w:ind w:firstLineChars="200" w:firstLine="643"/>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b/>
          <w:bCs/>
          <w:kern w:val="0"/>
          <w:sz w:val="32"/>
          <w:szCs w:val="32"/>
          <w:lang w:bidi="zh-CN"/>
        </w:rPr>
        <w:t>第十三条</w:t>
      </w:r>
      <w:r>
        <w:rPr>
          <w:rFonts w:ascii="仿宋_GB2312" w:eastAsia="仿宋_GB2312" w:hAnsi="仿宋_GB2312" w:cs="仿宋_GB2312" w:hint="eastAsia"/>
          <w:kern w:val="0"/>
          <w:sz w:val="32"/>
          <w:szCs w:val="32"/>
          <w:lang w:bidi="zh-CN"/>
        </w:rPr>
        <w:t xml:space="preserve"> </w:t>
      </w:r>
      <w:r>
        <w:rPr>
          <w:rFonts w:ascii="仿宋_GB2312" w:eastAsia="仿宋_GB2312" w:hint="eastAsia"/>
          <w:sz w:val="32"/>
          <w:szCs w:val="32"/>
        </w:rPr>
        <w:t>参股投资主体应明确参股管理的牵头部门、人员委派机制、经营事项决策流程。总部作为参股投资主体时，参</w:t>
      </w:r>
      <w:r>
        <w:rPr>
          <w:rFonts w:ascii="仿宋_GB2312" w:eastAsia="仿宋_GB2312" w:hAnsi="仿宋_GB2312" w:cs="仿宋_GB2312" w:hint="eastAsia"/>
          <w:kern w:val="0"/>
          <w:sz w:val="32"/>
          <w:szCs w:val="32"/>
          <w:lang w:bidi="zh-CN"/>
        </w:rPr>
        <w:t>股管理的牵头部门为总部资本运营部。</w:t>
      </w:r>
    </w:p>
    <w:p w14:paraId="66DFAB5D" w14:textId="77777777" w:rsidR="00B358A4" w:rsidRDefault="00000000">
      <w:pPr>
        <w:spacing w:line="520" w:lineRule="exact"/>
        <w:ind w:firstLineChars="200" w:firstLine="643"/>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b/>
          <w:bCs/>
          <w:kern w:val="0"/>
          <w:sz w:val="32"/>
          <w:szCs w:val="32"/>
          <w:lang w:bidi="zh-CN"/>
        </w:rPr>
        <w:t>第十四条</w:t>
      </w:r>
      <w:r>
        <w:rPr>
          <w:rFonts w:ascii="仿宋_GB2312" w:eastAsia="仿宋_GB2312" w:hAnsi="仿宋_GB2312" w:cs="仿宋_GB2312" w:hint="eastAsia"/>
          <w:kern w:val="0"/>
          <w:sz w:val="32"/>
          <w:szCs w:val="32"/>
          <w:lang w:bidi="zh-CN"/>
        </w:rPr>
        <w:t xml:space="preserve"> 参股投资主体应根据参股投资目的，向总部组织</w:t>
      </w:r>
      <w:r>
        <w:rPr>
          <w:rFonts w:ascii="仿宋_GB2312" w:eastAsia="仿宋_GB2312" w:hAnsi="仿宋_GB2312" w:cs="仿宋_GB2312" w:hint="eastAsia"/>
          <w:kern w:val="0"/>
          <w:sz w:val="32"/>
          <w:szCs w:val="32"/>
          <w:lang w:bidi="zh-CN"/>
        </w:rPr>
        <w:lastRenderedPageBreak/>
        <w:t>人事部提出参股企业董事、监事等重要岗位的委派人员建议，</w:t>
      </w:r>
      <w:proofErr w:type="gramStart"/>
      <w:r>
        <w:rPr>
          <w:rFonts w:ascii="仿宋_GB2312" w:eastAsia="仿宋_GB2312" w:hAnsi="仿宋_GB2312" w:cs="仿宋_GB2312" w:hint="eastAsia"/>
          <w:kern w:val="0"/>
          <w:sz w:val="32"/>
          <w:szCs w:val="32"/>
          <w:lang w:bidi="zh-CN"/>
        </w:rPr>
        <w:t>经集团</w:t>
      </w:r>
      <w:proofErr w:type="gramEnd"/>
      <w:r>
        <w:rPr>
          <w:rFonts w:ascii="仿宋_GB2312" w:eastAsia="仿宋_GB2312" w:hAnsi="仿宋_GB2312" w:cs="仿宋_GB2312" w:hint="eastAsia"/>
          <w:kern w:val="0"/>
          <w:sz w:val="32"/>
          <w:szCs w:val="32"/>
          <w:lang w:bidi="zh-CN"/>
        </w:rPr>
        <w:t>党委会审核同意后委派。</w:t>
      </w:r>
    </w:p>
    <w:p w14:paraId="2DBE07CC" w14:textId="77777777" w:rsidR="00B358A4" w:rsidRDefault="00000000">
      <w:pPr>
        <w:spacing w:line="520" w:lineRule="exact"/>
        <w:ind w:firstLineChars="200" w:firstLine="640"/>
        <w:rPr>
          <w:rFonts w:ascii="仿宋_GB2312" w:eastAsia="仿宋_GB2312" w:hAnsi="仿宋_GB2312" w:cs="仿宋_GB2312" w:hint="eastAsia"/>
          <w:kern w:val="0"/>
          <w:sz w:val="32"/>
          <w:szCs w:val="32"/>
          <w:lang w:bidi="zh-CN"/>
        </w:rPr>
      </w:pPr>
      <w:r>
        <w:rPr>
          <w:rFonts w:ascii="仿宋_GB2312" w:eastAsia="仿宋_GB2312" w:hAnsi="仿宋_GB2312" w:cs="仿宋_GB2312" w:hint="eastAsia"/>
          <w:kern w:val="0"/>
          <w:sz w:val="32"/>
          <w:szCs w:val="32"/>
          <w:lang w:bidi="zh-CN"/>
        </w:rPr>
        <w:t>委派人员应从集团整体利益出发，认真勤勉履职，推动参股企业按照规定召开股东会、董事会等研究决策相关事项，及时掌握并向参股投资主体报告参股企业重大事项，并按照集团委派人员管理相关规定提交履职报告。</w:t>
      </w:r>
    </w:p>
    <w:p w14:paraId="6E3DDDFF"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kern w:val="0"/>
          <w:sz w:val="32"/>
          <w:szCs w:val="32"/>
          <w:lang w:bidi="zh-CN"/>
        </w:rPr>
        <w:t>第十五条</w:t>
      </w:r>
      <w:r>
        <w:rPr>
          <w:rFonts w:ascii="仿宋_GB2312" w:eastAsia="仿宋_GB2312" w:hAnsi="仿宋_GB2312" w:cs="仿宋_GB2312" w:hint="eastAsia"/>
          <w:kern w:val="0"/>
          <w:sz w:val="32"/>
          <w:szCs w:val="32"/>
          <w:lang w:bidi="zh-CN"/>
        </w:rPr>
        <w:t xml:space="preserve"> </w:t>
      </w:r>
      <w:bookmarkStart w:id="12" w:name="_Hlk171499898"/>
      <w:r>
        <w:rPr>
          <w:rFonts w:ascii="仿宋_GB2312" w:eastAsia="仿宋_GB2312" w:hAnsi="仿宋_GB2312" w:cs="仿宋_GB2312" w:hint="eastAsia"/>
          <w:sz w:val="32"/>
          <w:szCs w:val="32"/>
        </w:rPr>
        <w:t>针对参股企业的一般性股权经营事项，由参股投资主体履行内部决策流程后进行表决。</w:t>
      </w:r>
    </w:p>
    <w:p w14:paraId="567A6503"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针对参股企业章程和投资协议重要条款修订、重大投融资、重大担保、重大产权变动、高级管理人员变动和薪酬激励、解散或清算等重要事项，参股投资主体及委派人员应当对上述事项在深入研究论证的基础上，</w:t>
      </w:r>
      <w:r>
        <w:rPr>
          <w:rFonts w:ascii="仿宋_GB2312" w:eastAsia="仿宋_GB2312" w:hAnsi="仿宋_GB2312" w:cs="仿宋_GB2312" w:hint="eastAsia"/>
          <w:kern w:val="0"/>
          <w:sz w:val="32"/>
          <w:szCs w:val="32"/>
          <w:lang w:bidi="zh-CN"/>
        </w:rPr>
        <w:t>征询</w:t>
      </w:r>
      <w:r>
        <w:rPr>
          <w:rFonts w:ascii="仿宋_GB2312" w:eastAsia="仿宋_GB2312" w:hAnsi="仿宋_GB2312" w:cs="仿宋_GB2312"/>
          <w:kern w:val="0"/>
          <w:sz w:val="32"/>
          <w:szCs w:val="32"/>
          <w:lang w:bidi="zh-CN"/>
        </w:rPr>
        <w:t>总部</w:t>
      </w:r>
      <w:r>
        <w:rPr>
          <w:rFonts w:ascii="仿宋_GB2312" w:eastAsia="仿宋_GB2312" w:hAnsi="仿宋_GB2312" w:cs="仿宋_GB2312" w:hint="eastAsia"/>
          <w:sz w:val="32"/>
          <w:szCs w:val="32"/>
        </w:rPr>
        <w:t>相关职能部门意见，并经参股投资主体集团分管领导同意后，代表股东充分表达意见。针对参股企业突发风险事项，参照上述重要事项流程及时处置应对。</w:t>
      </w:r>
    </w:p>
    <w:bookmarkEnd w:id="12"/>
    <w:p w14:paraId="30821B27"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 xml:space="preserve">第十六条 </w:t>
      </w:r>
      <w:r>
        <w:rPr>
          <w:rFonts w:ascii="仿宋_GB2312" w:eastAsia="仿宋_GB2312" w:hAnsi="仿宋_GB2312" w:cs="仿宋_GB2312" w:hint="eastAsia"/>
          <w:sz w:val="32"/>
          <w:szCs w:val="32"/>
        </w:rPr>
        <w:t>参股投资主体应督促参股企业及时分红或履行协议约定的业绩补偿等义务。对存在以下情形之一的参股企业，应加强财务风险监督，及时采取应对措施：</w:t>
      </w:r>
    </w:p>
    <w:p w14:paraId="0A5872B3"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（一）资产负债率超过</w:t>
      </w:r>
      <w:r>
        <w:rPr>
          <w:rFonts w:ascii="Arial" w:eastAsia="仿宋_GB2312" w:hAnsi="Arial" w:cs="Arial"/>
          <w:sz w:val="32"/>
          <w:szCs w:val="32"/>
        </w:rPr>
        <w:t>70%</w:t>
      </w:r>
      <w:r>
        <w:rPr>
          <w:rFonts w:ascii="仿宋_GB2312" w:eastAsia="仿宋_GB2312" w:hAnsi="仿宋_GB2312" w:cs="仿宋_GB2312" w:hint="eastAsia"/>
          <w:sz w:val="32"/>
          <w:szCs w:val="32"/>
        </w:rPr>
        <w:t>。</w:t>
      </w:r>
    </w:p>
    <w:p w14:paraId="7E34F419"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（二）与</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hint="eastAsia"/>
          <w:sz w:val="32"/>
          <w:szCs w:val="32"/>
        </w:rPr>
        <w:t>集团关联交易收入占总收入比例</w:t>
      </w:r>
      <w:r>
        <w:rPr>
          <w:rFonts w:ascii="Arial" w:eastAsia="仿宋_GB2312" w:hAnsi="Arial" w:cs="Arial"/>
          <w:sz w:val="32"/>
          <w:szCs w:val="32"/>
        </w:rPr>
        <w:t>50%</w:t>
      </w:r>
      <w:r>
        <w:rPr>
          <w:rFonts w:ascii="仿宋_GB2312" w:eastAsia="仿宋_GB2312" w:hAnsi="仿宋_GB2312" w:cs="仿宋_GB2312" w:hint="eastAsia"/>
          <w:sz w:val="32"/>
          <w:szCs w:val="32"/>
        </w:rPr>
        <w:t>以上。</w:t>
      </w:r>
    </w:p>
    <w:p w14:paraId="50855054"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（三）应收账款周转率显著低于同行业水平。</w:t>
      </w:r>
    </w:p>
    <w:p w14:paraId="25677A10"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（四）其他集团认定的财务风险指标。</w:t>
      </w:r>
    </w:p>
    <w:p w14:paraId="0DC27F99" w14:textId="77777777" w:rsidR="00B358A4" w:rsidRDefault="00000000">
      <w:pPr>
        <w:spacing w:line="520" w:lineRule="exact"/>
        <w:ind w:firstLineChars="200" w:firstLine="643"/>
        <w:rPr>
          <w:rFonts w:ascii="仿宋_GB2312" w:eastAsia="仿宋_GB2312" w:hAnsi="仿宋_GB2312" w:cs="仿宋_GB2312" w:hint="eastAsia"/>
          <w:b/>
          <w:bCs/>
          <w:sz w:val="32"/>
          <w:szCs w:val="32"/>
          <w:highlight w:val="yellow"/>
        </w:rPr>
      </w:pPr>
      <w:r>
        <w:rPr>
          <w:rFonts w:ascii="仿宋_GB2312" w:eastAsia="仿宋_GB2312" w:hAnsi="仿宋_GB2312" w:cs="仿宋_GB2312" w:hint="eastAsia"/>
          <w:b/>
          <w:bCs/>
          <w:sz w:val="32"/>
          <w:szCs w:val="32"/>
        </w:rPr>
        <w:t>第十七条</w:t>
      </w:r>
      <w:r>
        <w:rPr>
          <w:rFonts w:ascii="仿宋_GB2312" w:eastAsia="仿宋_GB2312" w:hAnsi="仿宋_GB2312" w:cs="仿宋_GB2312" w:hint="eastAsia"/>
          <w:sz w:val="32"/>
          <w:szCs w:val="32"/>
        </w:rPr>
        <w:t xml:space="preserve"> 参股投资主体与其他国有企业在参股企业持股比例合计超过</w:t>
      </w:r>
      <w:r>
        <w:rPr>
          <w:rFonts w:ascii="Arial" w:eastAsia="仿宋_GB2312" w:hAnsi="Arial" w:cs="Arial"/>
          <w:sz w:val="32"/>
          <w:szCs w:val="32"/>
        </w:rPr>
        <w:t>50%</w:t>
      </w:r>
      <w:r>
        <w:rPr>
          <w:rFonts w:ascii="仿宋_GB2312" w:eastAsia="仿宋_GB2312" w:hAnsi="仿宋_GB2312" w:cs="仿宋_GB2312" w:hint="eastAsia"/>
          <w:sz w:val="32"/>
          <w:szCs w:val="32"/>
        </w:rPr>
        <w:t>的参股企业，党建工作原则上由持股比例更高的国有股东领导和指导，按照有关规定落实管党治党责任。充分</w:t>
      </w:r>
      <w:r>
        <w:rPr>
          <w:rFonts w:ascii="仿宋_GB2312" w:eastAsia="仿宋_GB2312" w:hAnsi="仿宋_GB2312" w:cs="仿宋_GB2312" w:hint="eastAsia"/>
          <w:sz w:val="32"/>
          <w:szCs w:val="32"/>
        </w:rPr>
        <w:lastRenderedPageBreak/>
        <w:t>发挥参股企业中党组织和党员的先锋模范作用，维护国有资产权益和社会公共利益，严防国有资产流失。</w:t>
      </w:r>
    </w:p>
    <w:p w14:paraId="79A5C481" w14:textId="77777777" w:rsidR="00B358A4" w:rsidRDefault="00000000">
      <w:pPr>
        <w:pStyle w:val="1"/>
        <w:spacing w:before="260" w:after="260" w:line="520" w:lineRule="exact"/>
        <w:jc w:val="center"/>
        <w:rPr>
          <w:rFonts w:ascii="黑体" w:eastAsia="黑体" w:hAnsi="黑体" w:cs="黑体" w:hint="eastAsia"/>
          <w:b w:val="0"/>
          <w:bCs w:val="0"/>
          <w:sz w:val="32"/>
          <w:szCs w:val="32"/>
        </w:rPr>
      </w:pPr>
      <w:bookmarkStart w:id="13" w:name="_Toc172625168"/>
      <w:r>
        <w:rPr>
          <w:rFonts w:ascii="黑体" w:eastAsia="黑体" w:hAnsi="黑体" w:cs="黑体" w:hint="eastAsia"/>
          <w:b w:val="0"/>
          <w:bCs w:val="0"/>
          <w:sz w:val="32"/>
          <w:szCs w:val="32"/>
        </w:rPr>
        <w:t>第五章  参股股权退出管理</w:t>
      </w:r>
      <w:bookmarkEnd w:id="13"/>
    </w:p>
    <w:p w14:paraId="67708458" w14:textId="16F0080F"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第十八条</w:t>
      </w:r>
      <w:r>
        <w:rPr>
          <w:rFonts w:ascii="仿宋_GB2312" w:eastAsia="仿宋_GB2312" w:hAnsi="仿宋_GB2312" w:cs="仿宋_GB2312" w:hint="eastAsia"/>
          <w:sz w:val="32"/>
          <w:szCs w:val="32"/>
        </w:rPr>
        <w:t xml:space="preserve"> 总部资本运营部根据参股企业经营情况，结合参股投资目的，及时提出参股股权退出建议。</w:t>
      </w:r>
    </w:p>
    <w:p w14:paraId="17BCA91D" w14:textId="5BBF9B8A" w:rsidR="00B358A4" w:rsidRDefault="00000000">
      <w:pPr>
        <w:numPr>
          <w:ilvl w:val="0"/>
          <w:numId w:val="1"/>
        </w:numPr>
        <w:spacing w:line="520" w:lineRule="exact"/>
        <w:ind w:firstLineChars="200" w:firstLine="640"/>
        <w:rPr>
          <w:rFonts w:ascii="仿宋_GB2312" w:eastAsia="仿宋_GB2312" w:hAnsi="仿宋_GB2312" w:cs="仿宋_GB2312" w:hint="eastAsia"/>
          <w:sz w:val="32"/>
          <w:szCs w:val="32"/>
        </w:rPr>
      </w:pPr>
      <w:bookmarkStart w:id="14" w:name="_Hlk171500211"/>
      <w:r>
        <w:rPr>
          <w:rFonts w:ascii="仿宋_GB2312" w:eastAsia="仿宋_GB2312" w:hAnsi="仿宋_GB2312" w:cs="仿宋_GB2312" w:hint="eastAsia"/>
          <w:sz w:val="32"/>
          <w:szCs w:val="32"/>
        </w:rPr>
        <w:t>对成功上市或可通过并购溢价退出的财务投资项目，应及时退出，兑现投资收益；</w:t>
      </w:r>
      <w:proofErr w:type="gramStart"/>
      <w:r>
        <w:rPr>
          <w:rFonts w:ascii="仿宋_GB2312" w:eastAsia="仿宋_GB2312" w:hAnsi="仿宋_GB2312" w:cs="仿宋_GB2312" w:hint="eastAsia"/>
          <w:sz w:val="32"/>
          <w:szCs w:val="32"/>
        </w:rPr>
        <w:t>对显著</w:t>
      </w:r>
      <w:proofErr w:type="gramEnd"/>
      <w:r>
        <w:rPr>
          <w:rFonts w:ascii="仿宋_GB2312" w:eastAsia="仿宋_GB2312" w:hAnsi="仿宋_GB2312" w:cs="仿宋_GB2312" w:hint="eastAsia"/>
          <w:sz w:val="32"/>
          <w:szCs w:val="32"/>
        </w:rPr>
        <w:t>违反业绩承诺等重要承诺约定，且经营状况持续恶化的财务投资项目，应及时通过回购、减资等方式退出。</w:t>
      </w:r>
    </w:p>
    <w:p w14:paraId="3BB07429" w14:textId="52DD6A55" w:rsidR="00B358A4" w:rsidRDefault="00000000">
      <w:pPr>
        <w:numPr>
          <w:ilvl w:val="0"/>
          <w:numId w:val="1"/>
        </w:num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参股企业若</w:t>
      </w:r>
      <w:proofErr w:type="gramStart"/>
      <w:r>
        <w:rPr>
          <w:rFonts w:ascii="仿宋_GB2312" w:eastAsia="仿宋_GB2312" w:hAnsi="仿宋_GB2312" w:cs="仿宋_GB2312" w:hint="eastAsia"/>
          <w:sz w:val="32"/>
          <w:szCs w:val="32"/>
        </w:rPr>
        <w:t>发生发生</w:t>
      </w:r>
      <w:proofErr w:type="gramEnd"/>
      <w:r>
        <w:rPr>
          <w:rFonts w:ascii="仿宋_GB2312" w:eastAsia="仿宋_GB2312" w:hAnsi="仿宋_GB2312" w:cs="仿宋_GB2312" w:hint="eastAsia"/>
          <w:sz w:val="32"/>
          <w:szCs w:val="32"/>
        </w:rPr>
        <w:t>章程约定的解散情形，应及时解散或退出；对长期亏损或经营情况难以掌握的参股企业，应尽快推进退出。</w:t>
      </w:r>
    </w:p>
    <w:p w14:paraId="591EFC97" w14:textId="3B2387B2" w:rsidR="00B358A4" w:rsidRDefault="00000000">
      <w:pPr>
        <w:spacing w:line="52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（三）</w:t>
      </w:r>
      <w:r>
        <w:rPr>
          <w:rFonts w:ascii="仿宋_GB2312" w:eastAsia="仿宋_GB2312" w:hint="eastAsia"/>
          <w:sz w:val="32"/>
          <w:szCs w:val="32"/>
        </w:rPr>
        <w:t>对政策性参股等项目，可结合年度退出工作计划，适时采取股权转让、减资、解散清算等方式退出。</w:t>
      </w:r>
    </w:p>
    <w:bookmarkEnd w:id="14"/>
    <w:p w14:paraId="14CD0C9E"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 xml:space="preserve">第十九条 </w:t>
      </w:r>
      <w:r>
        <w:rPr>
          <w:rFonts w:ascii="仿宋_GB2312" w:eastAsia="仿宋_GB2312" w:hAnsi="仿宋_GB2312" w:cs="仿宋_GB2312" w:hint="eastAsia"/>
          <w:sz w:val="32"/>
          <w:szCs w:val="32"/>
        </w:rPr>
        <w:t>退出参股股权应当严格执行国有资产监督管理有关规定，依法合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履行审计、资产评估和产权交易等程序，及时办理工商、国有产权变更登记。对无法或不具备审计评估条件的参股股权，根据现行有效的相关制度规定执行。</w:t>
      </w:r>
    </w:p>
    <w:p w14:paraId="1969C21F" w14:textId="77777777" w:rsidR="00B358A4" w:rsidRDefault="00000000">
      <w:pPr>
        <w:pStyle w:val="1"/>
        <w:spacing w:before="260" w:after="260" w:line="520" w:lineRule="exact"/>
        <w:jc w:val="center"/>
        <w:rPr>
          <w:rFonts w:ascii="黑体" w:eastAsia="黑体" w:hAnsi="黑体" w:cs="黑体" w:hint="eastAsia"/>
          <w:sz w:val="32"/>
          <w:szCs w:val="32"/>
        </w:rPr>
      </w:pPr>
      <w:bookmarkStart w:id="15" w:name="_Toc172625169"/>
      <w:r>
        <w:rPr>
          <w:rFonts w:ascii="黑体" w:eastAsia="黑体" w:hAnsi="黑体" w:cs="黑体" w:hint="eastAsia"/>
          <w:b w:val="0"/>
          <w:bCs w:val="0"/>
          <w:sz w:val="32"/>
          <w:szCs w:val="32"/>
        </w:rPr>
        <w:t>第六章  考核与监督</w:t>
      </w:r>
      <w:bookmarkEnd w:id="15"/>
    </w:p>
    <w:p w14:paraId="0948E5FF"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 xml:space="preserve">第二十条 </w:t>
      </w:r>
      <w:r>
        <w:rPr>
          <w:rFonts w:ascii="仿宋_GB2312" w:eastAsia="仿宋_GB2312" w:hAnsi="仿宋_GB2312" w:cs="仿宋_GB2312" w:hint="eastAsia"/>
          <w:sz w:val="32"/>
          <w:szCs w:val="32"/>
        </w:rPr>
        <w:t>参股投资主体应遵循国有资产监督管理机构以及集团法</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审计、纪检监察等相关职能部门的指导监督，建立健全内控体系,规范开展参股经营投资。</w:t>
      </w:r>
    </w:p>
    <w:p w14:paraId="4CAC2D18" w14:textId="77777777" w:rsidR="00B358A4" w:rsidRDefault="00000000">
      <w:pPr>
        <w:pStyle w:val="21"/>
        <w:spacing w:line="520" w:lineRule="exact"/>
        <w:ind w:leftChars="100" w:left="210" w:firstLineChars="100" w:firstLine="321"/>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lastRenderedPageBreak/>
        <w:t>第二十一条</w:t>
      </w:r>
      <w:r>
        <w:rPr>
          <w:rFonts w:ascii="仿宋_GB2312" w:eastAsia="仿宋_GB2312" w:hAnsi="仿宋_GB2312" w:cs="仿宋_GB2312" w:hint="eastAsia"/>
          <w:sz w:val="32"/>
          <w:szCs w:val="32"/>
        </w:rPr>
        <w:t xml:space="preserve"> </w:t>
      </w:r>
      <w:bookmarkStart w:id="16" w:name="_Hlk171500400"/>
      <w:r>
        <w:rPr>
          <w:rFonts w:ascii="仿宋_GB2312" w:eastAsia="仿宋_GB2312" w:hAnsi="仿宋_GB2312" w:cs="仿宋_GB2312"/>
          <w:sz w:val="32"/>
          <w:szCs w:val="32"/>
        </w:rPr>
        <w:t>总部</w:t>
      </w:r>
      <w:r>
        <w:rPr>
          <w:rFonts w:ascii="仿宋_GB2312" w:eastAsia="仿宋_GB2312" w:hAnsi="仿宋_GB2312" w:cs="仿宋_GB2312" w:hint="eastAsia"/>
          <w:sz w:val="32"/>
          <w:szCs w:val="32"/>
        </w:rPr>
        <w:t>法</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审计部负责按照相关规定</w:t>
      </w:r>
      <w:r>
        <w:rPr>
          <w:rFonts w:ascii="仿宋_GB2312" w:eastAsia="仿宋_GB2312" w:hAnsi="仿宋_GB2312" w:cs="仿宋_GB2312"/>
          <w:sz w:val="32"/>
          <w:szCs w:val="32"/>
        </w:rPr>
        <w:t>对</w:t>
      </w:r>
      <w:r>
        <w:rPr>
          <w:rFonts w:ascii="仿宋_GB2312" w:eastAsia="仿宋_GB2312" w:hAnsi="仿宋_GB2312" w:cs="仿宋_GB2312" w:hint="eastAsia"/>
          <w:sz w:val="32"/>
          <w:szCs w:val="32"/>
        </w:rPr>
        <w:t>参股投资主体</w:t>
      </w:r>
      <w:r>
        <w:rPr>
          <w:rFonts w:ascii="仿宋_GB2312" w:eastAsia="仿宋_GB2312" w:hAnsi="仿宋_GB2312" w:cs="仿宋_GB2312"/>
          <w:sz w:val="32"/>
          <w:szCs w:val="32"/>
        </w:rPr>
        <w:t>实施的</w:t>
      </w:r>
      <w:r>
        <w:rPr>
          <w:rFonts w:ascii="仿宋_GB2312" w:eastAsia="仿宋_GB2312" w:hAnsi="仿宋_GB2312" w:cs="仿宋_GB2312" w:hint="eastAsia"/>
          <w:sz w:val="32"/>
          <w:szCs w:val="32"/>
        </w:rPr>
        <w:t>重点参股企业</w:t>
      </w:r>
      <w:r>
        <w:rPr>
          <w:rFonts w:ascii="仿宋_GB2312" w:eastAsia="仿宋_GB2312" w:hAnsi="仿宋_GB2312" w:cs="仿宋_GB2312"/>
          <w:sz w:val="32"/>
          <w:szCs w:val="32"/>
        </w:rPr>
        <w:t>经营投资事项</w:t>
      </w:r>
      <w:r>
        <w:rPr>
          <w:rFonts w:ascii="仿宋_GB2312" w:eastAsia="仿宋_GB2312" w:hAnsi="仿宋_GB2312" w:cs="仿宋_GB2312" w:hint="eastAsia"/>
          <w:sz w:val="32"/>
          <w:szCs w:val="32"/>
        </w:rPr>
        <w:t>进行专项审计。对参股投资主体的各级企业负责人开展任期经济责任审计时，将参股</w:t>
      </w:r>
      <w:r>
        <w:rPr>
          <w:rFonts w:ascii="仿宋_GB2312" w:eastAsia="仿宋_GB2312" w:hAnsi="仿宋_GB2312" w:cs="仿宋_GB2312"/>
          <w:sz w:val="32"/>
          <w:szCs w:val="32"/>
        </w:rPr>
        <w:t>经营投资</w:t>
      </w:r>
      <w:r>
        <w:rPr>
          <w:rFonts w:ascii="仿宋_GB2312" w:eastAsia="仿宋_GB2312" w:hAnsi="仿宋_GB2312" w:cs="仿宋_GB2312" w:hint="eastAsia"/>
          <w:sz w:val="32"/>
          <w:szCs w:val="32"/>
        </w:rPr>
        <w:t>有关事项列入重点审计内容。</w:t>
      </w:r>
    </w:p>
    <w:bookmarkEnd w:id="16"/>
    <w:p w14:paraId="044ADA2C"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第二十二条</w:t>
      </w:r>
      <w:r>
        <w:rPr>
          <w:rFonts w:ascii="仿宋_GB2312" w:eastAsia="仿宋_GB2312" w:hAnsi="仿宋_GB2312" w:cs="仿宋_GB2312" w:hint="eastAsia"/>
          <w:sz w:val="32"/>
          <w:szCs w:val="32"/>
        </w:rPr>
        <w:t xml:space="preserve"> 相关人员违反本办法，造成国有资产损失或者其他严重不良后果，</w:t>
      </w:r>
      <w:r>
        <w:rPr>
          <w:rFonts w:ascii="仿宋_GB2312" w:eastAsia="仿宋_GB2312" w:hAnsi="仿宋_GB2312" w:cs="仿宋_GB2312" w:hint="eastAsia"/>
          <w:sz w:val="32"/>
          <w:szCs w:val="32"/>
          <w:lang w:bidi="zh-CN"/>
        </w:rPr>
        <w:t>符合追责条件的，</w:t>
      </w:r>
      <w:r>
        <w:rPr>
          <w:rFonts w:ascii="仿宋_GB2312" w:eastAsia="仿宋_GB2312" w:hAnsi="仿宋_GB2312" w:cs="仿宋_GB2312" w:hint="eastAsia"/>
          <w:bCs/>
          <w:sz w:val="32"/>
          <w:szCs w:val="32"/>
          <w:lang w:bidi="zh-CN"/>
        </w:rPr>
        <w:t>按照集团规定执行</w:t>
      </w:r>
      <w:r>
        <w:rPr>
          <w:rFonts w:ascii="仿宋_GB2312" w:eastAsia="仿宋_GB2312" w:hAnsi="仿宋_GB2312" w:cs="仿宋_GB2312"/>
          <w:sz w:val="32"/>
          <w:szCs w:val="32"/>
          <w:lang w:val="zh-CN" w:bidi="zh-CN"/>
        </w:rPr>
        <w:t>。</w:t>
      </w:r>
    </w:p>
    <w:p w14:paraId="46A08567" w14:textId="77777777" w:rsidR="00B358A4" w:rsidRDefault="00000000">
      <w:pPr>
        <w:pStyle w:val="1"/>
        <w:spacing w:before="260" w:after="260" w:line="520" w:lineRule="exact"/>
        <w:jc w:val="center"/>
        <w:rPr>
          <w:rFonts w:ascii="黑体" w:eastAsia="黑体" w:hAnsi="黑体" w:cs="黑体" w:hint="eastAsia"/>
          <w:sz w:val="32"/>
          <w:szCs w:val="32"/>
        </w:rPr>
      </w:pPr>
      <w:bookmarkStart w:id="17" w:name="_Toc172625170"/>
      <w:r>
        <w:rPr>
          <w:rFonts w:ascii="黑体" w:eastAsia="黑体" w:hAnsi="黑体" w:cs="黑体" w:hint="eastAsia"/>
          <w:b w:val="0"/>
          <w:bCs w:val="0"/>
          <w:sz w:val="32"/>
          <w:szCs w:val="32"/>
        </w:rPr>
        <w:t>第七章  附则</w:t>
      </w:r>
      <w:bookmarkEnd w:id="17"/>
    </w:p>
    <w:p w14:paraId="172A9BD5" w14:textId="77777777" w:rsidR="00B358A4" w:rsidRDefault="00000000">
      <w:pPr>
        <w:spacing w:line="520" w:lineRule="exact"/>
        <w:ind w:firstLineChars="200" w:firstLine="643"/>
        <w:rPr>
          <w:rFonts w:ascii="仿宋_GB2312" w:eastAsia="仿宋_GB2312" w:hAnsi="仿宋_GB2312" w:cs="仿宋_GB2312" w:hint="eastAsia"/>
          <w:sz w:val="32"/>
          <w:szCs w:val="32"/>
          <w:lang w:val="zh-CN" w:bidi="zh-CN"/>
        </w:rPr>
      </w:pPr>
      <w:r>
        <w:rPr>
          <w:rFonts w:ascii="仿宋_GB2312" w:eastAsia="仿宋_GB2312" w:hAnsi="仿宋_GB2312" w:cs="仿宋_GB2312" w:hint="eastAsia"/>
          <w:b/>
          <w:bCs/>
          <w:sz w:val="32"/>
          <w:szCs w:val="32"/>
        </w:rPr>
        <w:t>第二十三条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总部</w:t>
      </w:r>
      <w:r>
        <w:rPr>
          <w:rFonts w:ascii="仿宋_GB2312" w:eastAsia="仿宋_GB2312" w:hAnsi="仿宋_GB2312" w:cs="仿宋_GB2312"/>
          <w:sz w:val="32"/>
          <w:szCs w:val="32"/>
          <w:lang w:val="zh-CN" w:bidi="zh-CN"/>
        </w:rPr>
        <w:t>对</w:t>
      </w:r>
      <w:r>
        <w:rPr>
          <w:rFonts w:ascii="仿宋_GB2312" w:eastAsia="仿宋_GB2312" w:hAnsi="仿宋_GB2312" w:cs="仿宋_GB2312" w:hint="eastAsia"/>
          <w:sz w:val="32"/>
          <w:szCs w:val="32"/>
          <w:lang w:val="zh-CN" w:bidi="zh-CN"/>
        </w:rPr>
        <w:t>下属企业</w:t>
      </w:r>
      <w:r>
        <w:rPr>
          <w:rFonts w:ascii="仿宋_GB2312" w:eastAsia="仿宋_GB2312" w:hAnsi="仿宋_GB2312" w:cs="仿宋_GB2312"/>
          <w:sz w:val="32"/>
          <w:szCs w:val="32"/>
          <w:lang w:val="zh-CN" w:bidi="zh-CN"/>
        </w:rPr>
        <w:t>单独授权的，从其规定。</w:t>
      </w:r>
    </w:p>
    <w:p w14:paraId="58A904EE"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 xml:space="preserve">第二十四条 </w:t>
      </w:r>
      <w:r>
        <w:rPr>
          <w:rFonts w:ascii="仿宋_GB2312" w:eastAsia="仿宋_GB2312" w:hAnsi="仿宋_GB2312" w:cs="仿宋_GB2312" w:hint="eastAsia"/>
          <w:sz w:val="32"/>
          <w:szCs w:val="32"/>
        </w:rPr>
        <w:t>本办法中“不超过”“以上”包括本数。</w:t>
      </w:r>
    </w:p>
    <w:p w14:paraId="672F1465"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第二十五条</w:t>
      </w:r>
      <w:r>
        <w:rPr>
          <w:rFonts w:ascii="仿宋_GB2312" w:eastAsia="仿宋_GB2312" w:hAnsi="仿宋_GB2312" w:cs="仿宋_GB2312" w:hint="eastAsia"/>
          <w:sz w:val="32"/>
          <w:szCs w:val="32"/>
        </w:rPr>
        <w:t xml:space="preserve"> 本办法未尽事宜，按照《中华人民共和国公司法》</w:t>
      </w:r>
      <w:r>
        <w:rPr>
          <w:rFonts w:ascii="仿宋_GB2312" w:eastAsia="仿宋_GB2312" w:hAnsi="仿宋_GB2312" w:cs="仿宋_GB2312"/>
          <w:sz w:val="32"/>
          <w:szCs w:val="32"/>
        </w:rPr>
        <w:t>等</w:t>
      </w:r>
      <w:r>
        <w:rPr>
          <w:rFonts w:ascii="仿宋_GB2312" w:eastAsia="仿宋_GB2312" w:hAnsi="仿宋_GB2312" w:cs="仿宋_GB2312" w:hint="eastAsia"/>
          <w:sz w:val="32"/>
          <w:szCs w:val="32"/>
        </w:rPr>
        <w:t>有关法律法规、《国有企业参股管理暂行办法》</w:t>
      </w:r>
      <w:r>
        <w:rPr>
          <w:rFonts w:ascii="仿宋_GB2312" w:eastAsia="仿宋_GB2312" w:hAnsi="仿宋_GB2312" w:cs="仿宋_GB2312"/>
          <w:sz w:val="32"/>
          <w:szCs w:val="32"/>
        </w:rPr>
        <w:t>等</w:t>
      </w:r>
      <w:r>
        <w:rPr>
          <w:rFonts w:ascii="仿宋_GB2312" w:eastAsia="仿宋_GB2312" w:hAnsi="仿宋_GB2312" w:cs="仿宋_GB2312" w:hint="eastAsia"/>
          <w:sz w:val="32"/>
          <w:szCs w:val="32"/>
        </w:rPr>
        <w:t>规范性文件</w:t>
      </w:r>
      <w:r>
        <w:rPr>
          <w:rFonts w:ascii="仿宋_GB2312" w:eastAsia="仿宋_GB2312" w:hAnsi="仿宋_GB2312" w:cs="仿宋_GB2312"/>
          <w:sz w:val="32"/>
          <w:szCs w:val="32"/>
        </w:rPr>
        <w:t>及</w:t>
      </w:r>
      <w:r>
        <w:rPr>
          <w:rFonts w:ascii="仿宋_GB2312" w:eastAsia="仿宋_GB2312" w:hAnsi="仿宋_GB2312" w:cs="仿宋_GB2312" w:hint="eastAsia"/>
          <w:sz w:val="32"/>
          <w:szCs w:val="32"/>
        </w:rPr>
        <w:t>集团内部</w:t>
      </w:r>
      <w:r>
        <w:rPr>
          <w:rFonts w:ascii="仿宋_GB2312" w:eastAsia="仿宋_GB2312" w:hAnsi="仿宋_GB2312" w:cs="仿宋_GB2312"/>
          <w:sz w:val="32"/>
          <w:szCs w:val="32"/>
        </w:rPr>
        <w:t>规章</w:t>
      </w:r>
      <w:r>
        <w:rPr>
          <w:rFonts w:ascii="仿宋_GB2312" w:eastAsia="仿宋_GB2312" w:hAnsi="仿宋_GB2312" w:cs="仿宋_GB2312" w:hint="eastAsia"/>
          <w:sz w:val="32"/>
          <w:szCs w:val="32"/>
        </w:rPr>
        <w:t>制度执行。</w:t>
      </w:r>
    </w:p>
    <w:p w14:paraId="142E6326"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第二十六条</w:t>
      </w:r>
      <w:r>
        <w:rPr>
          <w:rFonts w:ascii="仿宋_GB2312" w:eastAsia="仿宋_GB2312" w:hAnsi="仿宋_GB2312" w:cs="仿宋_GB2312" w:hint="eastAsia"/>
          <w:sz w:val="32"/>
          <w:szCs w:val="32"/>
        </w:rPr>
        <w:t xml:space="preserve"> 本办法由总部资本运营部负责解释。</w:t>
      </w:r>
    </w:p>
    <w:p w14:paraId="529E7754" w14:textId="77777777" w:rsidR="00B358A4" w:rsidRDefault="00000000">
      <w:pPr>
        <w:spacing w:line="52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第二十七条</w:t>
      </w:r>
      <w:r>
        <w:rPr>
          <w:rFonts w:ascii="仿宋_GB2312" w:eastAsia="仿宋_GB2312" w:hAnsi="仿宋_GB2312" w:cs="仿宋_GB2312" w:hint="eastAsia"/>
          <w:sz w:val="32"/>
          <w:szCs w:val="32"/>
        </w:rPr>
        <w:t xml:space="preserve"> 本办法自</w:t>
      </w:r>
      <w:r>
        <w:rPr>
          <w:rFonts w:ascii="仿宋_GB2312" w:eastAsia="仿宋_GB2312" w:hAnsi="仿宋_GB2312" w:cs="仿宋_GB2312"/>
          <w:sz w:val="32"/>
          <w:szCs w:val="32"/>
        </w:rPr>
        <w:t>印发</w:t>
      </w:r>
      <w:r>
        <w:rPr>
          <w:rFonts w:ascii="仿宋_GB2312" w:eastAsia="仿宋_GB2312" w:hAnsi="仿宋_GB2312" w:cs="仿宋_GB2312" w:hint="eastAsia"/>
          <w:sz w:val="32"/>
          <w:szCs w:val="32"/>
        </w:rPr>
        <w:t>之日起执行。</w:t>
      </w:r>
    </w:p>
    <w:p w14:paraId="2454B925" w14:textId="77777777" w:rsidR="00B358A4" w:rsidRDefault="00B358A4">
      <w:pPr>
        <w:spacing w:line="520" w:lineRule="exact"/>
        <w:ind w:firstLineChars="200" w:firstLine="640"/>
        <w:rPr>
          <w:rFonts w:ascii="仿宋_GB2312" w:eastAsia="仿宋_GB2312" w:hAnsi="仿宋_GB2312" w:cs="仿宋_GB2312" w:hint="eastAsia"/>
          <w:sz w:val="32"/>
          <w:szCs w:val="32"/>
        </w:rPr>
      </w:pPr>
    </w:p>
    <w:p w14:paraId="614F7BEF"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附件：禁止及限制行为清单</w:t>
      </w:r>
    </w:p>
    <w:p w14:paraId="41526235" w14:textId="77777777" w:rsidR="00B358A4" w:rsidRDefault="00000000">
      <w:pPr>
        <w:rPr>
          <w:rFonts w:ascii="仿宋_GB2312" w:eastAsia="仿宋_GB2312" w:hAnsi="仿宋_GB2312" w:cs="仿宋_GB2312" w:hint="eastAsia"/>
          <w:sz w:val="32"/>
          <w:szCs w:val="32"/>
        </w:rPr>
      </w:pPr>
      <w:r>
        <w:rPr>
          <w:rFonts w:ascii="仿宋_GB2312" w:eastAsia="仿宋_GB2312" w:hAnsi="仿宋_GB2312" w:cs="仿宋_GB2312"/>
          <w:sz w:val="32"/>
          <w:szCs w:val="32"/>
        </w:rPr>
        <w:br w:type="page"/>
      </w:r>
    </w:p>
    <w:p w14:paraId="108E51B1" w14:textId="77777777" w:rsidR="00B358A4" w:rsidRDefault="00000000">
      <w:pPr>
        <w:pStyle w:val="1"/>
        <w:rPr>
          <w:rFonts w:ascii="仿宋_GB2312" w:eastAsia="仿宋_GB2312" w:hAnsi="黑体" w:cs="仿宋_GB2312" w:hint="eastAsia"/>
          <w:b w:val="0"/>
          <w:bCs w:val="0"/>
          <w:sz w:val="32"/>
          <w:szCs w:val="32"/>
        </w:rPr>
      </w:pPr>
      <w:bookmarkStart w:id="18" w:name="_Toc172625171"/>
      <w:r>
        <w:rPr>
          <w:rFonts w:ascii="仿宋_GB2312" w:eastAsia="仿宋_GB2312" w:hAnsi="黑体" w:cs="仿宋_GB2312" w:hint="eastAsia"/>
          <w:b w:val="0"/>
          <w:bCs w:val="0"/>
          <w:sz w:val="32"/>
          <w:szCs w:val="32"/>
        </w:rPr>
        <w:lastRenderedPageBreak/>
        <w:t>附件</w:t>
      </w:r>
      <w:r>
        <w:rPr>
          <w:rFonts w:ascii="仿宋_GB2312" w:eastAsia="仿宋_GB2312" w:hAnsi="Arial" w:cs="Arial"/>
          <w:b w:val="0"/>
          <w:bCs w:val="0"/>
          <w:sz w:val="32"/>
          <w:szCs w:val="32"/>
        </w:rPr>
        <w:t>1</w:t>
      </w:r>
      <w:bookmarkEnd w:id="18"/>
    </w:p>
    <w:p w14:paraId="3EE09CE3" w14:textId="77777777" w:rsidR="00B358A4" w:rsidRDefault="00000000">
      <w:pPr>
        <w:autoSpaceDE w:val="0"/>
        <w:autoSpaceDN w:val="0"/>
        <w:spacing w:before="260" w:after="260" w:line="520" w:lineRule="exact"/>
        <w:jc w:val="center"/>
        <w:rPr>
          <w:rFonts w:ascii="宋体" w:hAnsi="宋体" w:cs="方正小标宋简体" w:hint="eastAsia"/>
          <w:b/>
          <w:bCs/>
          <w:kern w:val="0"/>
          <w:sz w:val="36"/>
          <w:szCs w:val="36"/>
          <w:lang w:bidi="zh-CN"/>
        </w:rPr>
      </w:pPr>
      <w:r>
        <w:rPr>
          <w:rFonts w:ascii="宋体" w:hAnsi="宋体" w:cs="方正小标宋简体" w:hint="eastAsia"/>
          <w:b/>
          <w:bCs/>
          <w:kern w:val="0"/>
          <w:sz w:val="36"/>
          <w:szCs w:val="36"/>
          <w:lang w:bidi="zh-CN"/>
        </w:rPr>
        <w:t>禁止及限制行为清单</w:t>
      </w:r>
    </w:p>
    <w:p w14:paraId="49EF8309"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一、禁止</w:t>
      </w:r>
      <w:r>
        <w:rPr>
          <w:rFonts w:ascii="仿宋_GB2312" w:eastAsia="仿宋_GB2312" w:hAnsi="仿宋_GB2312" w:cs="仿宋_GB2312"/>
          <w:sz w:val="32"/>
          <w:szCs w:val="32"/>
        </w:rPr>
        <w:t>选择与</w:t>
      </w:r>
      <w:r>
        <w:rPr>
          <w:rFonts w:ascii="仿宋_GB2312" w:eastAsia="仿宋_GB2312" w:hAnsi="仿宋_GB2312" w:cs="仿宋_GB2312" w:hint="eastAsia"/>
          <w:sz w:val="32"/>
          <w:szCs w:val="32"/>
        </w:rPr>
        <w:t>总部</w:t>
      </w:r>
      <w:r>
        <w:rPr>
          <w:rFonts w:ascii="仿宋_GB2312" w:eastAsia="仿宋_GB2312" w:hAnsi="仿宋_GB2312" w:cs="仿宋_GB2312"/>
          <w:sz w:val="32"/>
          <w:szCs w:val="32"/>
        </w:rPr>
        <w:t>及各下属公司领导人员存在特定关系(配偶、子女及其配偶等亲属关系，以及共同利益关系等)的</w:t>
      </w:r>
      <w:r>
        <w:rPr>
          <w:rFonts w:ascii="仿宋_GB2312" w:eastAsia="仿宋_GB2312" w:hAnsi="仿宋_GB2312" w:cs="仿宋_GB2312" w:hint="eastAsia"/>
          <w:sz w:val="32"/>
          <w:szCs w:val="32"/>
        </w:rPr>
        <w:t>参股</w:t>
      </w:r>
      <w:r>
        <w:rPr>
          <w:rFonts w:ascii="仿宋_GB2312" w:eastAsia="仿宋_GB2312" w:hAnsi="仿宋_GB2312" w:cs="仿宋_GB2312"/>
          <w:sz w:val="32"/>
          <w:szCs w:val="32"/>
        </w:rPr>
        <w:t>合作方</w:t>
      </w:r>
      <w:r>
        <w:rPr>
          <w:rFonts w:ascii="仿宋_GB2312" w:eastAsia="仿宋_GB2312" w:hAnsi="仿宋_GB2312" w:cs="仿宋_GB2312" w:hint="eastAsia"/>
          <w:sz w:val="32"/>
          <w:szCs w:val="32"/>
        </w:rPr>
        <w:t>。</w:t>
      </w:r>
    </w:p>
    <w:p w14:paraId="0482D08E"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二、禁止以</w:t>
      </w:r>
      <w:r>
        <w:rPr>
          <w:rFonts w:ascii="仿宋_GB2312" w:eastAsia="仿宋_GB2312" w:hAnsi="仿宋_GB2312" w:cs="仿宋_GB2312"/>
          <w:sz w:val="32"/>
          <w:szCs w:val="32"/>
        </w:rPr>
        <w:t>股权代持、“名为参股合作、实为借贷融资”的</w:t>
      </w:r>
      <w:proofErr w:type="gramStart"/>
      <w:r>
        <w:rPr>
          <w:rFonts w:ascii="仿宋_GB2312" w:eastAsia="仿宋_GB2312" w:hAnsi="仿宋_GB2312" w:cs="仿宋_GB2312"/>
          <w:sz w:val="32"/>
          <w:szCs w:val="32"/>
        </w:rPr>
        <w:t>名股实债</w:t>
      </w:r>
      <w:proofErr w:type="gramEnd"/>
      <w:r>
        <w:rPr>
          <w:rFonts w:ascii="仿宋_GB2312" w:eastAsia="仿宋_GB2312" w:hAnsi="仿宋_GB2312" w:cs="仿宋_GB2312"/>
          <w:sz w:val="32"/>
          <w:szCs w:val="32"/>
        </w:rPr>
        <w:t>方式开展参股合作。</w:t>
      </w:r>
    </w:p>
    <w:p w14:paraId="29879AB9"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三、禁止</w:t>
      </w:r>
      <w:r>
        <w:rPr>
          <w:rFonts w:ascii="仿宋_GB2312" w:eastAsia="仿宋_GB2312" w:hAnsi="仿宋_GB2312" w:cs="仿宋_GB2312"/>
          <w:sz w:val="32"/>
          <w:szCs w:val="32"/>
        </w:rPr>
        <w:t>对其他股东出资提供垫资</w:t>
      </w:r>
      <w:r>
        <w:rPr>
          <w:rFonts w:ascii="仿宋_GB2312" w:eastAsia="仿宋_GB2312" w:hAnsi="仿宋_GB2312" w:cs="仿宋_GB2312" w:hint="eastAsia"/>
          <w:sz w:val="32"/>
          <w:szCs w:val="32"/>
        </w:rPr>
        <w:t>，投资新设企业时禁止</w:t>
      </w:r>
      <w:r>
        <w:rPr>
          <w:rFonts w:ascii="仿宋_GB2312" w:eastAsia="仿宋_GB2312" w:hAnsi="仿宋_GB2312" w:cs="仿宋_GB2312"/>
          <w:sz w:val="32"/>
          <w:szCs w:val="32"/>
        </w:rPr>
        <w:t>先于其他</w:t>
      </w:r>
      <w:r>
        <w:rPr>
          <w:rFonts w:ascii="仿宋_GB2312" w:eastAsia="仿宋_GB2312" w:hAnsi="仿宋_GB2312" w:cs="仿宋_GB2312" w:hint="eastAsia"/>
          <w:sz w:val="32"/>
          <w:szCs w:val="32"/>
        </w:rPr>
        <w:t>民营</w:t>
      </w:r>
      <w:r>
        <w:rPr>
          <w:rFonts w:ascii="仿宋_GB2312" w:eastAsia="仿宋_GB2312" w:hAnsi="仿宋_GB2312" w:cs="仿宋_GB2312"/>
          <w:sz w:val="32"/>
          <w:szCs w:val="32"/>
        </w:rPr>
        <w:t>股东缴纳出资，另有规定的除外。</w:t>
      </w:r>
    </w:p>
    <w:p w14:paraId="52477B74"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sz w:val="32"/>
          <w:szCs w:val="32"/>
        </w:rPr>
        <w:t>严格控制对参股企业提供担保，确需提供的，应当严格履行决策程序，且不得超</w:t>
      </w:r>
      <w:r>
        <w:rPr>
          <w:rFonts w:ascii="仿宋_GB2312" w:eastAsia="仿宋_GB2312" w:hAnsi="仿宋_GB2312" w:cs="仿宋_GB2312" w:hint="eastAsia"/>
          <w:sz w:val="32"/>
          <w:szCs w:val="32"/>
        </w:rPr>
        <w:t>过</w:t>
      </w:r>
      <w:r>
        <w:rPr>
          <w:rFonts w:ascii="仿宋_GB2312" w:eastAsia="仿宋_GB2312" w:hAnsi="仿宋_GB2312" w:cs="仿宋_GB2312"/>
          <w:sz w:val="32"/>
          <w:szCs w:val="32"/>
        </w:rPr>
        <w:t>股权比例提供担保。</w:t>
      </w:r>
    </w:p>
    <w:p w14:paraId="1B57FF96"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sz w:val="32"/>
          <w:szCs w:val="32"/>
        </w:rPr>
        <w:t>、参股投资</w:t>
      </w:r>
      <w:r>
        <w:rPr>
          <w:rFonts w:ascii="仿宋_GB2312" w:eastAsia="仿宋_GB2312" w:hAnsi="仿宋_GB2312" w:cs="仿宋_GB2312" w:hint="eastAsia"/>
          <w:sz w:val="32"/>
          <w:szCs w:val="32"/>
        </w:rPr>
        <w:t>应</w:t>
      </w:r>
      <w:r>
        <w:rPr>
          <w:rFonts w:ascii="仿宋_GB2312" w:eastAsia="仿宋_GB2312" w:hAnsi="仿宋_GB2312" w:cs="仿宋_GB2312"/>
          <w:sz w:val="32"/>
          <w:szCs w:val="32"/>
        </w:rPr>
        <w:t>加强对品牌、字号、产品注册商标、经营资质、特许经营权等无形资产管理</w:t>
      </w:r>
      <w:r>
        <w:rPr>
          <w:rFonts w:ascii="仿宋_GB2312" w:eastAsia="仿宋_GB2312" w:hAnsi="仿宋_GB2312" w:cs="仿宋_GB2312" w:hint="eastAsia"/>
          <w:sz w:val="32"/>
          <w:szCs w:val="32"/>
        </w:rPr>
        <w:t>，禁止</w:t>
      </w:r>
      <w:r>
        <w:rPr>
          <w:rFonts w:ascii="仿宋_GB2312" w:eastAsia="仿宋_GB2312" w:hAnsi="仿宋_GB2312" w:cs="仿宋_GB2312"/>
          <w:sz w:val="32"/>
          <w:szCs w:val="32"/>
        </w:rPr>
        <w:t>将</w:t>
      </w:r>
      <w:r>
        <w:rPr>
          <w:rFonts w:ascii="仿宋_GB2312" w:eastAsia="仿宋_GB2312" w:hAnsi="仿宋_GB2312" w:cs="仿宋_GB2312" w:hint="eastAsia"/>
          <w:sz w:val="32"/>
          <w:szCs w:val="32"/>
        </w:rPr>
        <w:t>前述无形资产无偿</w:t>
      </w:r>
      <w:r>
        <w:rPr>
          <w:rFonts w:ascii="仿宋_GB2312" w:eastAsia="仿宋_GB2312" w:hAnsi="仿宋_GB2312" w:cs="仿宋_GB2312"/>
          <w:sz w:val="32"/>
          <w:szCs w:val="32"/>
        </w:rPr>
        <w:t>提供给参股企业使用。</w:t>
      </w:r>
      <w:r>
        <w:rPr>
          <w:rFonts w:ascii="仿宋_GB2312" w:eastAsia="仿宋_GB2312" w:hAnsi="仿宋_GB2312" w:cs="仿宋_GB2312" w:hint="eastAsia"/>
          <w:sz w:val="32"/>
          <w:szCs w:val="32"/>
        </w:rPr>
        <w:t>因</w:t>
      </w:r>
      <w:r>
        <w:rPr>
          <w:rFonts w:ascii="仿宋_GB2312" w:eastAsia="仿宋_GB2312" w:hAnsi="仿宋_GB2312" w:cs="仿宋_GB2312"/>
          <w:sz w:val="32"/>
          <w:szCs w:val="32"/>
        </w:rPr>
        <w:t>产权转让、企业增资导致</w:t>
      </w:r>
      <w:r>
        <w:rPr>
          <w:rFonts w:ascii="仿宋_GB2312" w:eastAsia="仿宋_GB2312" w:hAnsi="仿宋_GB2312" w:cs="仿宋_GB2312" w:hint="eastAsia"/>
          <w:sz w:val="32"/>
          <w:szCs w:val="32"/>
        </w:rPr>
        <w:t>集团</w:t>
      </w:r>
      <w:r>
        <w:rPr>
          <w:rFonts w:ascii="仿宋_GB2312" w:eastAsia="仿宋_GB2312" w:hAnsi="仿宋_GB2312" w:cs="仿宋_GB2312"/>
          <w:sz w:val="32"/>
          <w:szCs w:val="32"/>
        </w:rPr>
        <w:t>失去企业实际控制权的，交易完成后企业不得继续使用</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sz w:val="32"/>
          <w:szCs w:val="32"/>
        </w:rPr>
        <w:t>字号、经营资质和特许经营权等无形资产，不得继续以</w:t>
      </w:r>
      <w:proofErr w:type="gramStart"/>
      <w:r>
        <w:rPr>
          <w:rFonts w:ascii="仿宋_GB2312" w:eastAsia="仿宋_GB2312" w:hAnsi="仿宋_GB2312" w:cs="仿宋_GB2312" w:hint="eastAsia"/>
          <w:sz w:val="32"/>
          <w:szCs w:val="32"/>
        </w:rPr>
        <w:t>九洲</w:t>
      </w:r>
      <w:proofErr w:type="gramEnd"/>
      <w:r>
        <w:rPr>
          <w:rFonts w:ascii="仿宋_GB2312" w:eastAsia="仿宋_GB2312" w:hAnsi="仿宋_GB2312" w:cs="仿宋_GB2312"/>
          <w:sz w:val="32"/>
          <w:szCs w:val="32"/>
        </w:rPr>
        <w:t>名义开展经营活动。</w:t>
      </w:r>
    </w:p>
    <w:p w14:paraId="19F4ED4B"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六、禁止向参股企业委派的兼职人员在参股</w:t>
      </w:r>
      <w:r>
        <w:rPr>
          <w:rFonts w:ascii="仿宋_GB2312" w:eastAsia="仿宋_GB2312" w:hAnsi="仿宋_GB2312" w:cs="仿宋_GB2312"/>
          <w:sz w:val="32"/>
          <w:szCs w:val="32"/>
        </w:rPr>
        <w:t>企业领取工资、奖金、津贴等任何形式的报酬，</w:t>
      </w:r>
      <w:r>
        <w:rPr>
          <w:rFonts w:ascii="仿宋_GB2312" w:eastAsia="仿宋_GB2312" w:hAnsi="仿宋_GB2312" w:cs="仿宋_GB2312" w:hint="eastAsia"/>
          <w:sz w:val="32"/>
          <w:szCs w:val="32"/>
        </w:rPr>
        <w:t>以及</w:t>
      </w:r>
      <w:r>
        <w:rPr>
          <w:rFonts w:ascii="仿宋_GB2312" w:eastAsia="仿宋_GB2312" w:hAnsi="仿宋_GB2312" w:cs="仿宋_GB2312"/>
          <w:sz w:val="32"/>
          <w:szCs w:val="32"/>
        </w:rPr>
        <w:t>获取股权和其他额外利益。</w:t>
      </w:r>
    </w:p>
    <w:p w14:paraId="64401AE1" w14:textId="77777777" w:rsidR="00B358A4"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七、禁止向</w:t>
      </w:r>
      <w:r>
        <w:rPr>
          <w:rFonts w:ascii="仿宋_GB2312" w:eastAsia="仿宋_GB2312" w:hAnsi="仿宋_GB2312" w:cs="仿宋_GB2312"/>
          <w:sz w:val="32"/>
          <w:szCs w:val="32"/>
        </w:rPr>
        <w:t>参股企业提供借款。</w:t>
      </w:r>
    </w:p>
    <w:p w14:paraId="0A541244" w14:textId="77777777" w:rsidR="00B358A4" w:rsidRDefault="00B358A4"/>
    <w:sectPr w:rsidR="00B358A4">
      <w:footerReference w:type="default" r:id="rId11"/>
      <w:pgSz w:w="11906" w:h="16838"/>
      <w:pgMar w:top="2041" w:right="1531" w:bottom="2041" w:left="1531" w:header="851" w:footer="992" w:gutter="0"/>
      <w:pgNumType w:fmt="numberInDash"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93E59" w14:textId="77777777" w:rsidR="00CF2F66" w:rsidRDefault="00CF2F66">
      <w:r>
        <w:separator/>
      </w:r>
    </w:p>
  </w:endnote>
  <w:endnote w:type="continuationSeparator" w:id="0">
    <w:p w14:paraId="69B038DB" w14:textId="77777777" w:rsidR="00CF2F66" w:rsidRDefault="00CF2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558F" w14:textId="77777777" w:rsidR="00B358A4" w:rsidRDefault="00B358A4">
    <w:pPr>
      <w:pStyle w:val="ac"/>
      <w:ind w:right="90"/>
      <w:jc w:val="right"/>
    </w:pPr>
  </w:p>
  <w:p w14:paraId="0F75159C" w14:textId="77777777" w:rsidR="00B358A4" w:rsidRDefault="00B358A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AD178" w14:textId="77777777" w:rsidR="00B358A4" w:rsidRDefault="00B358A4">
    <w:pPr>
      <w:pStyle w:val="ac"/>
      <w:jc w:val="right"/>
    </w:pPr>
  </w:p>
  <w:p w14:paraId="7582A3A2" w14:textId="77777777" w:rsidR="00B358A4" w:rsidRDefault="00B358A4">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507504"/>
      <w:docPartObj>
        <w:docPartGallery w:val="Page Numbers (Bottom of Page)"/>
        <w:docPartUnique/>
      </w:docPartObj>
    </w:sdtPr>
    <w:sdtEndPr>
      <w:rPr>
        <w:rFonts w:ascii="宋体" w:hAnsi="宋体"/>
        <w:sz w:val="28"/>
        <w:szCs w:val="28"/>
      </w:rPr>
    </w:sdtEndPr>
    <w:sdtContent>
      <w:p w14:paraId="4BE2A87E" w14:textId="487C2DA1" w:rsidR="006279BD" w:rsidRPr="006279BD" w:rsidRDefault="006279BD">
        <w:pPr>
          <w:pStyle w:val="ac"/>
          <w:jc w:val="right"/>
          <w:rPr>
            <w:rFonts w:ascii="宋体" w:hAnsi="宋体" w:hint="eastAsia"/>
            <w:sz w:val="28"/>
            <w:szCs w:val="28"/>
          </w:rPr>
        </w:pPr>
        <w:r w:rsidRPr="006279BD">
          <w:rPr>
            <w:rFonts w:ascii="宋体" w:hAnsi="宋体"/>
            <w:sz w:val="28"/>
            <w:szCs w:val="28"/>
          </w:rPr>
          <w:fldChar w:fldCharType="begin"/>
        </w:r>
        <w:r w:rsidRPr="006279BD">
          <w:rPr>
            <w:rFonts w:ascii="宋体" w:hAnsi="宋体"/>
            <w:sz w:val="28"/>
            <w:szCs w:val="28"/>
          </w:rPr>
          <w:instrText>PAGE   \* MERGEFORMAT</w:instrText>
        </w:r>
        <w:r w:rsidRPr="006279BD">
          <w:rPr>
            <w:rFonts w:ascii="宋体" w:hAnsi="宋体"/>
            <w:sz w:val="28"/>
            <w:szCs w:val="28"/>
          </w:rPr>
          <w:fldChar w:fldCharType="separate"/>
        </w:r>
        <w:r w:rsidRPr="006279BD">
          <w:rPr>
            <w:rFonts w:ascii="宋体" w:hAnsi="宋体"/>
            <w:sz w:val="28"/>
            <w:szCs w:val="28"/>
            <w:lang w:val="zh-CN"/>
          </w:rPr>
          <w:t>2</w:t>
        </w:r>
        <w:r w:rsidRPr="006279BD">
          <w:rPr>
            <w:rFonts w:ascii="宋体" w:hAnsi="宋体"/>
            <w:sz w:val="28"/>
            <w:szCs w:val="28"/>
          </w:rPr>
          <w:fldChar w:fldCharType="end"/>
        </w:r>
      </w:p>
    </w:sdtContent>
  </w:sdt>
  <w:p w14:paraId="739CDC4D" w14:textId="77777777" w:rsidR="00B358A4" w:rsidRDefault="00B358A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1BB05" w14:textId="77777777" w:rsidR="00CF2F66" w:rsidRDefault="00CF2F66">
      <w:r>
        <w:separator/>
      </w:r>
    </w:p>
  </w:footnote>
  <w:footnote w:type="continuationSeparator" w:id="0">
    <w:p w14:paraId="31CB965A" w14:textId="77777777" w:rsidR="00CF2F66" w:rsidRDefault="00CF2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3FA1CE"/>
    <w:multiLevelType w:val="singleLevel"/>
    <w:tmpl w:val="303FA1CE"/>
    <w:lvl w:ilvl="0">
      <w:start w:val="1"/>
      <w:numFmt w:val="chineseCounting"/>
      <w:suff w:val="nothing"/>
      <w:lvlText w:val="（%1）"/>
      <w:lvlJc w:val="left"/>
      <w:rPr>
        <w:rFonts w:hint="eastAsia"/>
      </w:rPr>
    </w:lvl>
  </w:abstractNum>
  <w:num w:numId="1" w16cid:durableId="395587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 w:name="KSO_WPS_MARK_KEY" w:val="be3740e3-04f4-4882-817f-882ca8e5fa30"/>
  </w:docVars>
  <w:rsids>
    <w:rsidRoot w:val="00B40F84"/>
    <w:rsid w:val="BBF9CEB1"/>
    <w:rsid w:val="BFF06396"/>
    <w:rsid w:val="D3FEDE2A"/>
    <w:rsid w:val="D623A6C0"/>
    <w:rsid w:val="D76C4E18"/>
    <w:rsid w:val="DBBF615B"/>
    <w:rsid w:val="F53FB98F"/>
    <w:rsid w:val="F8F18B69"/>
    <w:rsid w:val="F9FB1CA2"/>
    <w:rsid w:val="FEF7EE9E"/>
    <w:rsid w:val="FF57556D"/>
    <w:rsid w:val="FF8E8E65"/>
    <w:rsid w:val="FFFB2848"/>
    <w:rsid w:val="00004A98"/>
    <w:rsid w:val="00004C2C"/>
    <w:rsid w:val="00010B4E"/>
    <w:rsid w:val="000110DE"/>
    <w:rsid w:val="00011507"/>
    <w:rsid w:val="00013BCB"/>
    <w:rsid w:val="000305A9"/>
    <w:rsid w:val="000312C1"/>
    <w:rsid w:val="000334E8"/>
    <w:rsid w:val="000338D7"/>
    <w:rsid w:val="000344BB"/>
    <w:rsid w:val="000347A7"/>
    <w:rsid w:val="000544A3"/>
    <w:rsid w:val="00056A03"/>
    <w:rsid w:val="000648E7"/>
    <w:rsid w:val="000705DD"/>
    <w:rsid w:val="000711BE"/>
    <w:rsid w:val="00073C48"/>
    <w:rsid w:val="00075DB6"/>
    <w:rsid w:val="00080700"/>
    <w:rsid w:val="0008083A"/>
    <w:rsid w:val="00082DDE"/>
    <w:rsid w:val="000903B9"/>
    <w:rsid w:val="000926E9"/>
    <w:rsid w:val="000A1445"/>
    <w:rsid w:val="000A31AF"/>
    <w:rsid w:val="000A405D"/>
    <w:rsid w:val="000A746D"/>
    <w:rsid w:val="000B1551"/>
    <w:rsid w:val="000B4954"/>
    <w:rsid w:val="000B62EE"/>
    <w:rsid w:val="000C5CFE"/>
    <w:rsid w:val="000C60B5"/>
    <w:rsid w:val="000D02E8"/>
    <w:rsid w:val="000D07DA"/>
    <w:rsid w:val="000D2A6B"/>
    <w:rsid w:val="000D4BD2"/>
    <w:rsid w:val="000E63BA"/>
    <w:rsid w:val="000E6723"/>
    <w:rsid w:val="000F2BCA"/>
    <w:rsid w:val="000F504D"/>
    <w:rsid w:val="00100B60"/>
    <w:rsid w:val="0010510B"/>
    <w:rsid w:val="00107D37"/>
    <w:rsid w:val="001127AC"/>
    <w:rsid w:val="00116C9F"/>
    <w:rsid w:val="0012560C"/>
    <w:rsid w:val="001307D3"/>
    <w:rsid w:val="001406FB"/>
    <w:rsid w:val="00140EA6"/>
    <w:rsid w:val="00142AE9"/>
    <w:rsid w:val="00145285"/>
    <w:rsid w:val="00145BA3"/>
    <w:rsid w:val="00145C0D"/>
    <w:rsid w:val="001463CE"/>
    <w:rsid w:val="00147668"/>
    <w:rsid w:val="001513E2"/>
    <w:rsid w:val="00151436"/>
    <w:rsid w:val="00154440"/>
    <w:rsid w:val="00155DDA"/>
    <w:rsid w:val="00160ACF"/>
    <w:rsid w:val="001610B0"/>
    <w:rsid w:val="00164A3F"/>
    <w:rsid w:val="001652B0"/>
    <w:rsid w:val="00167635"/>
    <w:rsid w:val="00167D37"/>
    <w:rsid w:val="00172496"/>
    <w:rsid w:val="0017502A"/>
    <w:rsid w:val="0017539E"/>
    <w:rsid w:val="00176F10"/>
    <w:rsid w:val="00187382"/>
    <w:rsid w:val="00194ACF"/>
    <w:rsid w:val="001A29F3"/>
    <w:rsid w:val="001A5957"/>
    <w:rsid w:val="001A720C"/>
    <w:rsid w:val="001B0D95"/>
    <w:rsid w:val="001B28A5"/>
    <w:rsid w:val="001B2E0A"/>
    <w:rsid w:val="001B4873"/>
    <w:rsid w:val="001D42AF"/>
    <w:rsid w:val="001D4312"/>
    <w:rsid w:val="001E0127"/>
    <w:rsid w:val="001E1453"/>
    <w:rsid w:val="001E2185"/>
    <w:rsid w:val="001E704D"/>
    <w:rsid w:val="001F10F9"/>
    <w:rsid w:val="001F21BF"/>
    <w:rsid w:val="001F46F1"/>
    <w:rsid w:val="001F621C"/>
    <w:rsid w:val="001F7B38"/>
    <w:rsid w:val="002031FD"/>
    <w:rsid w:val="00211C50"/>
    <w:rsid w:val="00211F37"/>
    <w:rsid w:val="00214D99"/>
    <w:rsid w:val="00216446"/>
    <w:rsid w:val="002172C0"/>
    <w:rsid w:val="00226EAB"/>
    <w:rsid w:val="00227AF8"/>
    <w:rsid w:val="0023476D"/>
    <w:rsid w:val="00234BBC"/>
    <w:rsid w:val="0023718E"/>
    <w:rsid w:val="002429E9"/>
    <w:rsid w:val="0025056C"/>
    <w:rsid w:val="002546AF"/>
    <w:rsid w:val="00270EE3"/>
    <w:rsid w:val="00273510"/>
    <w:rsid w:val="00273565"/>
    <w:rsid w:val="0027439D"/>
    <w:rsid w:val="0028149D"/>
    <w:rsid w:val="0028661F"/>
    <w:rsid w:val="00287A32"/>
    <w:rsid w:val="00290F95"/>
    <w:rsid w:val="002A1BC5"/>
    <w:rsid w:val="002A2769"/>
    <w:rsid w:val="002A5330"/>
    <w:rsid w:val="002A6EF3"/>
    <w:rsid w:val="002B5BA0"/>
    <w:rsid w:val="002B76F1"/>
    <w:rsid w:val="002C1296"/>
    <w:rsid w:val="002C3BC6"/>
    <w:rsid w:val="002C4118"/>
    <w:rsid w:val="002D05C0"/>
    <w:rsid w:val="002D17B0"/>
    <w:rsid w:val="002D24BF"/>
    <w:rsid w:val="002E06D7"/>
    <w:rsid w:val="002E2E76"/>
    <w:rsid w:val="002E3459"/>
    <w:rsid w:val="002E3D88"/>
    <w:rsid w:val="002E44A0"/>
    <w:rsid w:val="002E47DB"/>
    <w:rsid w:val="002E536D"/>
    <w:rsid w:val="002E5DDF"/>
    <w:rsid w:val="002F1EE7"/>
    <w:rsid w:val="002F3833"/>
    <w:rsid w:val="002F6BC1"/>
    <w:rsid w:val="00307210"/>
    <w:rsid w:val="003107BA"/>
    <w:rsid w:val="0031201C"/>
    <w:rsid w:val="00314F01"/>
    <w:rsid w:val="003156A7"/>
    <w:rsid w:val="00320AF7"/>
    <w:rsid w:val="0032503F"/>
    <w:rsid w:val="00326E24"/>
    <w:rsid w:val="00332F13"/>
    <w:rsid w:val="0033423C"/>
    <w:rsid w:val="0033478A"/>
    <w:rsid w:val="00335399"/>
    <w:rsid w:val="003413A1"/>
    <w:rsid w:val="00345B38"/>
    <w:rsid w:val="00350D61"/>
    <w:rsid w:val="0035161D"/>
    <w:rsid w:val="003518DC"/>
    <w:rsid w:val="003553AA"/>
    <w:rsid w:val="00360116"/>
    <w:rsid w:val="00360297"/>
    <w:rsid w:val="0036245B"/>
    <w:rsid w:val="00364359"/>
    <w:rsid w:val="003671EA"/>
    <w:rsid w:val="00367996"/>
    <w:rsid w:val="00370D0B"/>
    <w:rsid w:val="0037172F"/>
    <w:rsid w:val="00380E0A"/>
    <w:rsid w:val="00396799"/>
    <w:rsid w:val="003976D1"/>
    <w:rsid w:val="003978AF"/>
    <w:rsid w:val="003A6CF6"/>
    <w:rsid w:val="003B0059"/>
    <w:rsid w:val="003B0C14"/>
    <w:rsid w:val="003C22C4"/>
    <w:rsid w:val="003C5E15"/>
    <w:rsid w:val="003C7FE3"/>
    <w:rsid w:val="003D3BA7"/>
    <w:rsid w:val="003D4C98"/>
    <w:rsid w:val="003D745A"/>
    <w:rsid w:val="003E2C69"/>
    <w:rsid w:val="003E531D"/>
    <w:rsid w:val="00403870"/>
    <w:rsid w:val="00415581"/>
    <w:rsid w:val="00422913"/>
    <w:rsid w:val="00422B7E"/>
    <w:rsid w:val="00426473"/>
    <w:rsid w:val="00427A5F"/>
    <w:rsid w:val="004318EF"/>
    <w:rsid w:val="004325F9"/>
    <w:rsid w:val="00444309"/>
    <w:rsid w:val="00444F8E"/>
    <w:rsid w:val="004474D1"/>
    <w:rsid w:val="00456A4B"/>
    <w:rsid w:val="00460104"/>
    <w:rsid w:val="00460427"/>
    <w:rsid w:val="0046063B"/>
    <w:rsid w:val="00463AC9"/>
    <w:rsid w:val="0046729A"/>
    <w:rsid w:val="004675A4"/>
    <w:rsid w:val="00474815"/>
    <w:rsid w:val="00476AFE"/>
    <w:rsid w:val="00482B95"/>
    <w:rsid w:val="00484E33"/>
    <w:rsid w:val="004853FA"/>
    <w:rsid w:val="0049051A"/>
    <w:rsid w:val="00491101"/>
    <w:rsid w:val="00495423"/>
    <w:rsid w:val="004A12CE"/>
    <w:rsid w:val="004A6035"/>
    <w:rsid w:val="004A6883"/>
    <w:rsid w:val="004A76FF"/>
    <w:rsid w:val="004B3F84"/>
    <w:rsid w:val="004B58AB"/>
    <w:rsid w:val="004B6F0C"/>
    <w:rsid w:val="004C09F3"/>
    <w:rsid w:val="004C61F8"/>
    <w:rsid w:val="004D0CD2"/>
    <w:rsid w:val="004D34B2"/>
    <w:rsid w:val="004D499E"/>
    <w:rsid w:val="004F1F1C"/>
    <w:rsid w:val="004F428C"/>
    <w:rsid w:val="004F44CF"/>
    <w:rsid w:val="00514059"/>
    <w:rsid w:val="0051560E"/>
    <w:rsid w:val="00526206"/>
    <w:rsid w:val="0052759F"/>
    <w:rsid w:val="00533A1B"/>
    <w:rsid w:val="005443A8"/>
    <w:rsid w:val="0054508A"/>
    <w:rsid w:val="00553B2E"/>
    <w:rsid w:val="0055799F"/>
    <w:rsid w:val="0056010D"/>
    <w:rsid w:val="00571B10"/>
    <w:rsid w:val="00583BEB"/>
    <w:rsid w:val="00593D73"/>
    <w:rsid w:val="00596432"/>
    <w:rsid w:val="005A198D"/>
    <w:rsid w:val="005A374E"/>
    <w:rsid w:val="005B32D0"/>
    <w:rsid w:val="005B3773"/>
    <w:rsid w:val="005B51D3"/>
    <w:rsid w:val="005B572D"/>
    <w:rsid w:val="005B699B"/>
    <w:rsid w:val="005C2D60"/>
    <w:rsid w:val="005C5169"/>
    <w:rsid w:val="005C74CA"/>
    <w:rsid w:val="005D0FFC"/>
    <w:rsid w:val="005E02AD"/>
    <w:rsid w:val="006004A9"/>
    <w:rsid w:val="00605975"/>
    <w:rsid w:val="00605D0B"/>
    <w:rsid w:val="00617EF4"/>
    <w:rsid w:val="00620459"/>
    <w:rsid w:val="006218B5"/>
    <w:rsid w:val="00623169"/>
    <w:rsid w:val="006279BD"/>
    <w:rsid w:val="00632564"/>
    <w:rsid w:val="00634E47"/>
    <w:rsid w:val="00641CC0"/>
    <w:rsid w:val="0064331D"/>
    <w:rsid w:val="00644939"/>
    <w:rsid w:val="00647679"/>
    <w:rsid w:val="006546A0"/>
    <w:rsid w:val="00655C65"/>
    <w:rsid w:val="00657E3D"/>
    <w:rsid w:val="00657FA9"/>
    <w:rsid w:val="0066055C"/>
    <w:rsid w:val="0066511E"/>
    <w:rsid w:val="00671BCC"/>
    <w:rsid w:val="00675E49"/>
    <w:rsid w:val="00680A27"/>
    <w:rsid w:val="00684CAE"/>
    <w:rsid w:val="006A2E1C"/>
    <w:rsid w:val="006A558B"/>
    <w:rsid w:val="006A6680"/>
    <w:rsid w:val="006B07ED"/>
    <w:rsid w:val="006B69A8"/>
    <w:rsid w:val="006C259E"/>
    <w:rsid w:val="006D2261"/>
    <w:rsid w:val="006E0DE9"/>
    <w:rsid w:val="006E16B7"/>
    <w:rsid w:val="006F109D"/>
    <w:rsid w:val="006F1B40"/>
    <w:rsid w:val="006F6AE9"/>
    <w:rsid w:val="0070709A"/>
    <w:rsid w:val="00707D9D"/>
    <w:rsid w:val="00713A5A"/>
    <w:rsid w:val="007178B1"/>
    <w:rsid w:val="00717BC0"/>
    <w:rsid w:val="00723A52"/>
    <w:rsid w:val="00723BF0"/>
    <w:rsid w:val="007244B8"/>
    <w:rsid w:val="007270D5"/>
    <w:rsid w:val="0073040A"/>
    <w:rsid w:val="00731988"/>
    <w:rsid w:val="0073552D"/>
    <w:rsid w:val="0074113E"/>
    <w:rsid w:val="00741489"/>
    <w:rsid w:val="007418AC"/>
    <w:rsid w:val="00744F02"/>
    <w:rsid w:val="0074561E"/>
    <w:rsid w:val="00745D38"/>
    <w:rsid w:val="007552B4"/>
    <w:rsid w:val="00757E2F"/>
    <w:rsid w:val="00761DB6"/>
    <w:rsid w:val="0076393E"/>
    <w:rsid w:val="007738B2"/>
    <w:rsid w:val="00775263"/>
    <w:rsid w:val="007800EE"/>
    <w:rsid w:val="007803E5"/>
    <w:rsid w:val="0078120C"/>
    <w:rsid w:val="00793BBD"/>
    <w:rsid w:val="00793E53"/>
    <w:rsid w:val="00797CBB"/>
    <w:rsid w:val="007A1DE5"/>
    <w:rsid w:val="007A3AA3"/>
    <w:rsid w:val="007B1A17"/>
    <w:rsid w:val="007B665E"/>
    <w:rsid w:val="007C1535"/>
    <w:rsid w:val="007C1D09"/>
    <w:rsid w:val="007C4E73"/>
    <w:rsid w:val="007C53C9"/>
    <w:rsid w:val="007D2394"/>
    <w:rsid w:val="007D2DC8"/>
    <w:rsid w:val="007D56D8"/>
    <w:rsid w:val="007F0539"/>
    <w:rsid w:val="007F1B59"/>
    <w:rsid w:val="007F41BB"/>
    <w:rsid w:val="007F4F6C"/>
    <w:rsid w:val="007F6832"/>
    <w:rsid w:val="0080232F"/>
    <w:rsid w:val="008026B6"/>
    <w:rsid w:val="008041BA"/>
    <w:rsid w:val="00804DD5"/>
    <w:rsid w:val="008114B8"/>
    <w:rsid w:val="0081780C"/>
    <w:rsid w:val="00832182"/>
    <w:rsid w:val="00833B65"/>
    <w:rsid w:val="00834809"/>
    <w:rsid w:val="00842CB0"/>
    <w:rsid w:val="00843687"/>
    <w:rsid w:val="008634BA"/>
    <w:rsid w:val="00870398"/>
    <w:rsid w:val="0087243F"/>
    <w:rsid w:val="00875F08"/>
    <w:rsid w:val="00884E07"/>
    <w:rsid w:val="008856F3"/>
    <w:rsid w:val="008858CA"/>
    <w:rsid w:val="008A07D8"/>
    <w:rsid w:val="008A5576"/>
    <w:rsid w:val="008A6B97"/>
    <w:rsid w:val="008A752A"/>
    <w:rsid w:val="008B4AF2"/>
    <w:rsid w:val="008B6411"/>
    <w:rsid w:val="008C0ABD"/>
    <w:rsid w:val="008C4828"/>
    <w:rsid w:val="008E301D"/>
    <w:rsid w:val="008E566B"/>
    <w:rsid w:val="008F1800"/>
    <w:rsid w:val="008F261F"/>
    <w:rsid w:val="008F40F3"/>
    <w:rsid w:val="008F466B"/>
    <w:rsid w:val="008F6317"/>
    <w:rsid w:val="008F6544"/>
    <w:rsid w:val="009002DC"/>
    <w:rsid w:val="00902404"/>
    <w:rsid w:val="009045FC"/>
    <w:rsid w:val="009107B3"/>
    <w:rsid w:val="00912686"/>
    <w:rsid w:val="00913A00"/>
    <w:rsid w:val="0092518E"/>
    <w:rsid w:val="00927733"/>
    <w:rsid w:val="00927810"/>
    <w:rsid w:val="00931170"/>
    <w:rsid w:val="00932205"/>
    <w:rsid w:val="00935796"/>
    <w:rsid w:val="00935C04"/>
    <w:rsid w:val="0094491A"/>
    <w:rsid w:val="00944D2C"/>
    <w:rsid w:val="0094687A"/>
    <w:rsid w:val="00947BC6"/>
    <w:rsid w:val="0095273F"/>
    <w:rsid w:val="00952A12"/>
    <w:rsid w:val="009543CF"/>
    <w:rsid w:val="00962364"/>
    <w:rsid w:val="009656F7"/>
    <w:rsid w:val="0096599B"/>
    <w:rsid w:val="0097323D"/>
    <w:rsid w:val="00976BD9"/>
    <w:rsid w:val="0097707C"/>
    <w:rsid w:val="009779A5"/>
    <w:rsid w:val="00982849"/>
    <w:rsid w:val="0098285B"/>
    <w:rsid w:val="00986377"/>
    <w:rsid w:val="00986730"/>
    <w:rsid w:val="00992189"/>
    <w:rsid w:val="009921F3"/>
    <w:rsid w:val="009939C2"/>
    <w:rsid w:val="00994CA8"/>
    <w:rsid w:val="00995EFE"/>
    <w:rsid w:val="009961B0"/>
    <w:rsid w:val="009A71DC"/>
    <w:rsid w:val="009B04EA"/>
    <w:rsid w:val="009B1880"/>
    <w:rsid w:val="009B1B60"/>
    <w:rsid w:val="009B6AF0"/>
    <w:rsid w:val="009B7998"/>
    <w:rsid w:val="009C0416"/>
    <w:rsid w:val="009C656D"/>
    <w:rsid w:val="009D5C50"/>
    <w:rsid w:val="009D5D32"/>
    <w:rsid w:val="009E2B44"/>
    <w:rsid w:val="009E6DA2"/>
    <w:rsid w:val="00A0022F"/>
    <w:rsid w:val="00A00B2A"/>
    <w:rsid w:val="00A02BFD"/>
    <w:rsid w:val="00A07239"/>
    <w:rsid w:val="00A07434"/>
    <w:rsid w:val="00A13971"/>
    <w:rsid w:val="00A14464"/>
    <w:rsid w:val="00A263EC"/>
    <w:rsid w:val="00A32670"/>
    <w:rsid w:val="00A3270B"/>
    <w:rsid w:val="00A32ABA"/>
    <w:rsid w:val="00A356C8"/>
    <w:rsid w:val="00A42EEE"/>
    <w:rsid w:val="00A4419E"/>
    <w:rsid w:val="00A45B92"/>
    <w:rsid w:val="00A46087"/>
    <w:rsid w:val="00A47364"/>
    <w:rsid w:val="00A60C30"/>
    <w:rsid w:val="00A65CCD"/>
    <w:rsid w:val="00A70104"/>
    <w:rsid w:val="00A77EC6"/>
    <w:rsid w:val="00A81C9D"/>
    <w:rsid w:val="00A84F9D"/>
    <w:rsid w:val="00A861ED"/>
    <w:rsid w:val="00A86D03"/>
    <w:rsid w:val="00A94D69"/>
    <w:rsid w:val="00A9517F"/>
    <w:rsid w:val="00A95CCF"/>
    <w:rsid w:val="00A96A14"/>
    <w:rsid w:val="00A96DB8"/>
    <w:rsid w:val="00A9709C"/>
    <w:rsid w:val="00AA0229"/>
    <w:rsid w:val="00AA5E0D"/>
    <w:rsid w:val="00AB4BDA"/>
    <w:rsid w:val="00AC772F"/>
    <w:rsid w:val="00AD0DBF"/>
    <w:rsid w:val="00AD3065"/>
    <w:rsid w:val="00AE0F9F"/>
    <w:rsid w:val="00AE1E02"/>
    <w:rsid w:val="00AE5567"/>
    <w:rsid w:val="00AF56E4"/>
    <w:rsid w:val="00B01272"/>
    <w:rsid w:val="00B01DE3"/>
    <w:rsid w:val="00B039E8"/>
    <w:rsid w:val="00B13DF7"/>
    <w:rsid w:val="00B17A02"/>
    <w:rsid w:val="00B27068"/>
    <w:rsid w:val="00B32274"/>
    <w:rsid w:val="00B358A4"/>
    <w:rsid w:val="00B40F84"/>
    <w:rsid w:val="00B454B4"/>
    <w:rsid w:val="00B46840"/>
    <w:rsid w:val="00B511BC"/>
    <w:rsid w:val="00B529DA"/>
    <w:rsid w:val="00B570DD"/>
    <w:rsid w:val="00B576A9"/>
    <w:rsid w:val="00B61827"/>
    <w:rsid w:val="00B64AB6"/>
    <w:rsid w:val="00B65DF0"/>
    <w:rsid w:val="00B65F9F"/>
    <w:rsid w:val="00B666B8"/>
    <w:rsid w:val="00B671BB"/>
    <w:rsid w:val="00B750B0"/>
    <w:rsid w:val="00B801F7"/>
    <w:rsid w:val="00BA26A5"/>
    <w:rsid w:val="00BA35DB"/>
    <w:rsid w:val="00BA7289"/>
    <w:rsid w:val="00BB211B"/>
    <w:rsid w:val="00BB23E2"/>
    <w:rsid w:val="00BC31B7"/>
    <w:rsid w:val="00BD0429"/>
    <w:rsid w:val="00BD1234"/>
    <w:rsid w:val="00BD2119"/>
    <w:rsid w:val="00BD5BF9"/>
    <w:rsid w:val="00BE098C"/>
    <w:rsid w:val="00BE24C5"/>
    <w:rsid w:val="00BE3635"/>
    <w:rsid w:val="00BF0D75"/>
    <w:rsid w:val="00C00277"/>
    <w:rsid w:val="00C008CF"/>
    <w:rsid w:val="00C020A4"/>
    <w:rsid w:val="00C13DF4"/>
    <w:rsid w:val="00C20E7F"/>
    <w:rsid w:val="00C24524"/>
    <w:rsid w:val="00C31CEF"/>
    <w:rsid w:val="00C34A77"/>
    <w:rsid w:val="00C40C02"/>
    <w:rsid w:val="00C41496"/>
    <w:rsid w:val="00C450D8"/>
    <w:rsid w:val="00C45F95"/>
    <w:rsid w:val="00C54E14"/>
    <w:rsid w:val="00C711B6"/>
    <w:rsid w:val="00C73476"/>
    <w:rsid w:val="00C77E16"/>
    <w:rsid w:val="00C800E6"/>
    <w:rsid w:val="00C84505"/>
    <w:rsid w:val="00C90BD5"/>
    <w:rsid w:val="00C956B6"/>
    <w:rsid w:val="00C959CB"/>
    <w:rsid w:val="00C97C0D"/>
    <w:rsid w:val="00CA49F3"/>
    <w:rsid w:val="00CB4D47"/>
    <w:rsid w:val="00CC4803"/>
    <w:rsid w:val="00CC6F76"/>
    <w:rsid w:val="00CD0271"/>
    <w:rsid w:val="00CD5056"/>
    <w:rsid w:val="00CE1CF0"/>
    <w:rsid w:val="00CF2F66"/>
    <w:rsid w:val="00CF58F9"/>
    <w:rsid w:val="00CF62F2"/>
    <w:rsid w:val="00CF6FE0"/>
    <w:rsid w:val="00D01407"/>
    <w:rsid w:val="00D03123"/>
    <w:rsid w:val="00D12322"/>
    <w:rsid w:val="00D12F9C"/>
    <w:rsid w:val="00D17792"/>
    <w:rsid w:val="00D22802"/>
    <w:rsid w:val="00D22887"/>
    <w:rsid w:val="00D2507B"/>
    <w:rsid w:val="00D263BA"/>
    <w:rsid w:val="00D31B18"/>
    <w:rsid w:val="00D364BE"/>
    <w:rsid w:val="00D36852"/>
    <w:rsid w:val="00D40A19"/>
    <w:rsid w:val="00D4627B"/>
    <w:rsid w:val="00D478B8"/>
    <w:rsid w:val="00D6067D"/>
    <w:rsid w:val="00D60883"/>
    <w:rsid w:val="00D630CA"/>
    <w:rsid w:val="00D657AF"/>
    <w:rsid w:val="00D83F02"/>
    <w:rsid w:val="00D938B1"/>
    <w:rsid w:val="00D93EEA"/>
    <w:rsid w:val="00DA1863"/>
    <w:rsid w:val="00DA4B45"/>
    <w:rsid w:val="00DA4FCB"/>
    <w:rsid w:val="00DA5728"/>
    <w:rsid w:val="00DA7D94"/>
    <w:rsid w:val="00DB070F"/>
    <w:rsid w:val="00DB0BEA"/>
    <w:rsid w:val="00DC0AFA"/>
    <w:rsid w:val="00DC1B8E"/>
    <w:rsid w:val="00DC1EFB"/>
    <w:rsid w:val="00DC25C8"/>
    <w:rsid w:val="00DC5EF6"/>
    <w:rsid w:val="00DC62D1"/>
    <w:rsid w:val="00DD3A80"/>
    <w:rsid w:val="00DD72BE"/>
    <w:rsid w:val="00DE209C"/>
    <w:rsid w:val="00DE3407"/>
    <w:rsid w:val="00DE3F51"/>
    <w:rsid w:val="00DF2745"/>
    <w:rsid w:val="00DF30A6"/>
    <w:rsid w:val="00DF3C71"/>
    <w:rsid w:val="00DF443D"/>
    <w:rsid w:val="00E075C0"/>
    <w:rsid w:val="00E132AF"/>
    <w:rsid w:val="00E15925"/>
    <w:rsid w:val="00E166D7"/>
    <w:rsid w:val="00E2241A"/>
    <w:rsid w:val="00E22866"/>
    <w:rsid w:val="00E24AC9"/>
    <w:rsid w:val="00E26C20"/>
    <w:rsid w:val="00E33E2E"/>
    <w:rsid w:val="00E34045"/>
    <w:rsid w:val="00E43822"/>
    <w:rsid w:val="00E43B08"/>
    <w:rsid w:val="00E44872"/>
    <w:rsid w:val="00E50D9F"/>
    <w:rsid w:val="00E54EE5"/>
    <w:rsid w:val="00E653DA"/>
    <w:rsid w:val="00E715EC"/>
    <w:rsid w:val="00E72806"/>
    <w:rsid w:val="00E821DF"/>
    <w:rsid w:val="00E82A51"/>
    <w:rsid w:val="00E84B32"/>
    <w:rsid w:val="00E86636"/>
    <w:rsid w:val="00E91553"/>
    <w:rsid w:val="00E954B6"/>
    <w:rsid w:val="00EA129D"/>
    <w:rsid w:val="00EA5ADC"/>
    <w:rsid w:val="00EA6E4F"/>
    <w:rsid w:val="00EB262C"/>
    <w:rsid w:val="00EB33B9"/>
    <w:rsid w:val="00EB704D"/>
    <w:rsid w:val="00EC4C56"/>
    <w:rsid w:val="00EC7E85"/>
    <w:rsid w:val="00ED0D8F"/>
    <w:rsid w:val="00ED2B97"/>
    <w:rsid w:val="00ED5688"/>
    <w:rsid w:val="00ED5BB2"/>
    <w:rsid w:val="00EE1D55"/>
    <w:rsid w:val="00EE3D5E"/>
    <w:rsid w:val="00EE61A7"/>
    <w:rsid w:val="00EE68DB"/>
    <w:rsid w:val="00EF468D"/>
    <w:rsid w:val="00F0092B"/>
    <w:rsid w:val="00F02C7E"/>
    <w:rsid w:val="00F06F63"/>
    <w:rsid w:val="00F0716F"/>
    <w:rsid w:val="00F07530"/>
    <w:rsid w:val="00F114BF"/>
    <w:rsid w:val="00F11DCC"/>
    <w:rsid w:val="00F148C7"/>
    <w:rsid w:val="00F15C8D"/>
    <w:rsid w:val="00F17B84"/>
    <w:rsid w:val="00F21415"/>
    <w:rsid w:val="00F21B5E"/>
    <w:rsid w:val="00F22645"/>
    <w:rsid w:val="00F24A83"/>
    <w:rsid w:val="00F2522F"/>
    <w:rsid w:val="00F323C9"/>
    <w:rsid w:val="00F35146"/>
    <w:rsid w:val="00F37B6C"/>
    <w:rsid w:val="00F41057"/>
    <w:rsid w:val="00F540EC"/>
    <w:rsid w:val="00F552F3"/>
    <w:rsid w:val="00F55502"/>
    <w:rsid w:val="00F56662"/>
    <w:rsid w:val="00F662FA"/>
    <w:rsid w:val="00F70180"/>
    <w:rsid w:val="00F721AA"/>
    <w:rsid w:val="00F73D2E"/>
    <w:rsid w:val="00F87A10"/>
    <w:rsid w:val="00FC696D"/>
    <w:rsid w:val="00FD1BEA"/>
    <w:rsid w:val="00FD3335"/>
    <w:rsid w:val="00FD3357"/>
    <w:rsid w:val="00FD508A"/>
    <w:rsid w:val="00FD5AD3"/>
    <w:rsid w:val="00FD6D19"/>
    <w:rsid w:val="00FD7B16"/>
    <w:rsid w:val="00FE072C"/>
    <w:rsid w:val="00FE2316"/>
    <w:rsid w:val="00FE66B1"/>
    <w:rsid w:val="00FE74AD"/>
    <w:rsid w:val="012C2953"/>
    <w:rsid w:val="016A347B"/>
    <w:rsid w:val="01E21263"/>
    <w:rsid w:val="02203B3A"/>
    <w:rsid w:val="02797B16"/>
    <w:rsid w:val="0300751D"/>
    <w:rsid w:val="03BF1CC3"/>
    <w:rsid w:val="04AB5BBC"/>
    <w:rsid w:val="04CD7FA9"/>
    <w:rsid w:val="05C173E2"/>
    <w:rsid w:val="05EF21A1"/>
    <w:rsid w:val="05FE0636"/>
    <w:rsid w:val="072A2952"/>
    <w:rsid w:val="07675529"/>
    <w:rsid w:val="077566D6"/>
    <w:rsid w:val="079C6BF6"/>
    <w:rsid w:val="084A7B62"/>
    <w:rsid w:val="087370B9"/>
    <w:rsid w:val="09150170"/>
    <w:rsid w:val="094445B2"/>
    <w:rsid w:val="09A908B8"/>
    <w:rsid w:val="09DE0562"/>
    <w:rsid w:val="0A03446D"/>
    <w:rsid w:val="0A1026E6"/>
    <w:rsid w:val="0A8235E3"/>
    <w:rsid w:val="0BC419DA"/>
    <w:rsid w:val="0C4548C9"/>
    <w:rsid w:val="0CA35A93"/>
    <w:rsid w:val="0D116EA1"/>
    <w:rsid w:val="0D5A232A"/>
    <w:rsid w:val="0DDC2532"/>
    <w:rsid w:val="0F3B5A0F"/>
    <w:rsid w:val="0F5C08A7"/>
    <w:rsid w:val="0F895626"/>
    <w:rsid w:val="10817E99"/>
    <w:rsid w:val="10BE733F"/>
    <w:rsid w:val="10EC5C5A"/>
    <w:rsid w:val="110411F6"/>
    <w:rsid w:val="11056D1C"/>
    <w:rsid w:val="11252F1A"/>
    <w:rsid w:val="11F14447"/>
    <w:rsid w:val="12E017EF"/>
    <w:rsid w:val="12E6673B"/>
    <w:rsid w:val="12F62DC0"/>
    <w:rsid w:val="130D3C66"/>
    <w:rsid w:val="14340173"/>
    <w:rsid w:val="147F6DE6"/>
    <w:rsid w:val="154F355A"/>
    <w:rsid w:val="161D68B6"/>
    <w:rsid w:val="16C32FBA"/>
    <w:rsid w:val="16FF3949"/>
    <w:rsid w:val="17966920"/>
    <w:rsid w:val="186F7F8D"/>
    <w:rsid w:val="18972950"/>
    <w:rsid w:val="190F0738"/>
    <w:rsid w:val="19151AC7"/>
    <w:rsid w:val="19A4775B"/>
    <w:rsid w:val="19B7492C"/>
    <w:rsid w:val="19DB2D10"/>
    <w:rsid w:val="1A501008"/>
    <w:rsid w:val="1A912E0D"/>
    <w:rsid w:val="1A9A2283"/>
    <w:rsid w:val="1A9F1F5A"/>
    <w:rsid w:val="1AE6196C"/>
    <w:rsid w:val="1B9C5CC8"/>
    <w:rsid w:val="1C644DBE"/>
    <w:rsid w:val="1D447E7F"/>
    <w:rsid w:val="1D5F5A06"/>
    <w:rsid w:val="1D8008FE"/>
    <w:rsid w:val="1D8B05A9"/>
    <w:rsid w:val="1DB775F0"/>
    <w:rsid w:val="1DCA7323"/>
    <w:rsid w:val="1EAB0F03"/>
    <w:rsid w:val="1F03039A"/>
    <w:rsid w:val="1F890B18"/>
    <w:rsid w:val="1F9E83EA"/>
    <w:rsid w:val="1FE12702"/>
    <w:rsid w:val="1FF42436"/>
    <w:rsid w:val="20286583"/>
    <w:rsid w:val="203942EC"/>
    <w:rsid w:val="20E26732"/>
    <w:rsid w:val="219914E7"/>
    <w:rsid w:val="21C56F1C"/>
    <w:rsid w:val="21CD288F"/>
    <w:rsid w:val="22034BB2"/>
    <w:rsid w:val="22196184"/>
    <w:rsid w:val="224551CB"/>
    <w:rsid w:val="22625D7D"/>
    <w:rsid w:val="22BB36DF"/>
    <w:rsid w:val="237C10C0"/>
    <w:rsid w:val="24435A04"/>
    <w:rsid w:val="24C83E91"/>
    <w:rsid w:val="258C1362"/>
    <w:rsid w:val="25BC1FC0"/>
    <w:rsid w:val="25E35426"/>
    <w:rsid w:val="262621E8"/>
    <w:rsid w:val="26663961"/>
    <w:rsid w:val="266F04A9"/>
    <w:rsid w:val="267A2B41"/>
    <w:rsid w:val="268838D8"/>
    <w:rsid w:val="26B66697"/>
    <w:rsid w:val="26CC403D"/>
    <w:rsid w:val="26D26953"/>
    <w:rsid w:val="27AC1848"/>
    <w:rsid w:val="27C13545"/>
    <w:rsid w:val="2803149C"/>
    <w:rsid w:val="289217DF"/>
    <w:rsid w:val="289E3886"/>
    <w:rsid w:val="28F16696"/>
    <w:rsid w:val="2A1F27A5"/>
    <w:rsid w:val="2A407120"/>
    <w:rsid w:val="2AA32F9F"/>
    <w:rsid w:val="2AD92954"/>
    <w:rsid w:val="2C484235"/>
    <w:rsid w:val="2CF0667B"/>
    <w:rsid w:val="2DAE48F1"/>
    <w:rsid w:val="2EED4C20"/>
    <w:rsid w:val="2F9506C7"/>
    <w:rsid w:val="2FF756A2"/>
    <w:rsid w:val="2FFE02C6"/>
    <w:rsid w:val="301C3088"/>
    <w:rsid w:val="3034062C"/>
    <w:rsid w:val="308415B4"/>
    <w:rsid w:val="31772ABC"/>
    <w:rsid w:val="31F91B2E"/>
    <w:rsid w:val="332178C3"/>
    <w:rsid w:val="358B5193"/>
    <w:rsid w:val="35DE5975"/>
    <w:rsid w:val="36502A56"/>
    <w:rsid w:val="36513CE6"/>
    <w:rsid w:val="36952C22"/>
    <w:rsid w:val="36BE4D06"/>
    <w:rsid w:val="37491635"/>
    <w:rsid w:val="37DA5F5D"/>
    <w:rsid w:val="37ED39B0"/>
    <w:rsid w:val="38CC7F9C"/>
    <w:rsid w:val="38FD1F03"/>
    <w:rsid w:val="39786697"/>
    <w:rsid w:val="39D87726"/>
    <w:rsid w:val="3A0A7CB4"/>
    <w:rsid w:val="3A865D75"/>
    <w:rsid w:val="3B231DE0"/>
    <w:rsid w:val="3BA90120"/>
    <w:rsid w:val="3BF21AC7"/>
    <w:rsid w:val="3C3417B7"/>
    <w:rsid w:val="3D3F6F8E"/>
    <w:rsid w:val="3E231D75"/>
    <w:rsid w:val="3E4E4FAF"/>
    <w:rsid w:val="3F3E0238"/>
    <w:rsid w:val="3F761D29"/>
    <w:rsid w:val="3FE60B84"/>
    <w:rsid w:val="401D2E8B"/>
    <w:rsid w:val="403B61F2"/>
    <w:rsid w:val="4048636D"/>
    <w:rsid w:val="408D0011"/>
    <w:rsid w:val="40D20119"/>
    <w:rsid w:val="41520AD2"/>
    <w:rsid w:val="417967E7"/>
    <w:rsid w:val="417B430D"/>
    <w:rsid w:val="41E579D9"/>
    <w:rsid w:val="421363A8"/>
    <w:rsid w:val="4269060A"/>
    <w:rsid w:val="42A82E8A"/>
    <w:rsid w:val="42ED123B"/>
    <w:rsid w:val="42F44377"/>
    <w:rsid w:val="449D27EC"/>
    <w:rsid w:val="44A21BB1"/>
    <w:rsid w:val="44B55D88"/>
    <w:rsid w:val="45240818"/>
    <w:rsid w:val="452B429C"/>
    <w:rsid w:val="453A628D"/>
    <w:rsid w:val="45C344D5"/>
    <w:rsid w:val="45C51FFB"/>
    <w:rsid w:val="45FD1795"/>
    <w:rsid w:val="46E62229"/>
    <w:rsid w:val="46EE10DD"/>
    <w:rsid w:val="476B2289"/>
    <w:rsid w:val="47FB1D04"/>
    <w:rsid w:val="483A5B2E"/>
    <w:rsid w:val="48496F13"/>
    <w:rsid w:val="487E378E"/>
    <w:rsid w:val="493C5914"/>
    <w:rsid w:val="49634005"/>
    <w:rsid w:val="49A34401"/>
    <w:rsid w:val="49C60892"/>
    <w:rsid w:val="4AC9433B"/>
    <w:rsid w:val="4B054C48"/>
    <w:rsid w:val="4B0D52E0"/>
    <w:rsid w:val="4B1A4B97"/>
    <w:rsid w:val="4B6A50D5"/>
    <w:rsid w:val="4BF538EE"/>
    <w:rsid w:val="4C373527"/>
    <w:rsid w:val="4C7076A0"/>
    <w:rsid w:val="4CAA019C"/>
    <w:rsid w:val="4CC9406B"/>
    <w:rsid w:val="4CD86AB8"/>
    <w:rsid w:val="4D7A7B6F"/>
    <w:rsid w:val="4E2E44B5"/>
    <w:rsid w:val="4EB3158A"/>
    <w:rsid w:val="4F0B3174"/>
    <w:rsid w:val="4F6A776F"/>
    <w:rsid w:val="4FF5172F"/>
    <w:rsid w:val="4FFFA21B"/>
    <w:rsid w:val="50377F99"/>
    <w:rsid w:val="5079410E"/>
    <w:rsid w:val="50D76CFC"/>
    <w:rsid w:val="5164091A"/>
    <w:rsid w:val="518C60C3"/>
    <w:rsid w:val="51AC22C1"/>
    <w:rsid w:val="526D37FE"/>
    <w:rsid w:val="527E3C5D"/>
    <w:rsid w:val="546C3805"/>
    <w:rsid w:val="54720FE1"/>
    <w:rsid w:val="54905ECA"/>
    <w:rsid w:val="54BC0A6D"/>
    <w:rsid w:val="54E67898"/>
    <w:rsid w:val="5589747C"/>
    <w:rsid w:val="55CA71B9"/>
    <w:rsid w:val="55D816FD"/>
    <w:rsid w:val="568A3B11"/>
    <w:rsid w:val="56F33938"/>
    <w:rsid w:val="56F42740"/>
    <w:rsid w:val="56FCD14A"/>
    <w:rsid w:val="573C03F4"/>
    <w:rsid w:val="573C5E95"/>
    <w:rsid w:val="574F1374"/>
    <w:rsid w:val="57875362"/>
    <w:rsid w:val="57B27F05"/>
    <w:rsid w:val="57E749D2"/>
    <w:rsid w:val="58085FCE"/>
    <w:rsid w:val="588B1398"/>
    <w:rsid w:val="58E7205D"/>
    <w:rsid w:val="59C26B25"/>
    <w:rsid w:val="5A12495C"/>
    <w:rsid w:val="5ABD109B"/>
    <w:rsid w:val="5AC16F20"/>
    <w:rsid w:val="5B177ADB"/>
    <w:rsid w:val="5B43572E"/>
    <w:rsid w:val="5B9E2C7A"/>
    <w:rsid w:val="5BE56AFB"/>
    <w:rsid w:val="5C2F5FC8"/>
    <w:rsid w:val="5C444C92"/>
    <w:rsid w:val="5DBB5303"/>
    <w:rsid w:val="5DDC7A8A"/>
    <w:rsid w:val="5DF9BA70"/>
    <w:rsid w:val="5E6A5BD3"/>
    <w:rsid w:val="5E7128C8"/>
    <w:rsid w:val="5EB32EE1"/>
    <w:rsid w:val="5EF795DD"/>
    <w:rsid w:val="5F0B0627"/>
    <w:rsid w:val="5F8E1258"/>
    <w:rsid w:val="60362F01"/>
    <w:rsid w:val="606C1599"/>
    <w:rsid w:val="60BD1DF5"/>
    <w:rsid w:val="60EA43CC"/>
    <w:rsid w:val="610C37A4"/>
    <w:rsid w:val="6111317F"/>
    <w:rsid w:val="62270A4D"/>
    <w:rsid w:val="625E04E5"/>
    <w:rsid w:val="627B09BB"/>
    <w:rsid w:val="63384522"/>
    <w:rsid w:val="638E7A78"/>
    <w:rsid w:val="643248A8"/>
    <w:rsid w:val="647F343B"/>
    <w:rsid w:val="64FD3107"/>
    <w:rsid w:val="65136487"/>
    <w:rsid w:val="655F791E"/>
    <w:rsid w:val="65E15D42"/>
    <w:rsid w:val="66372649"/>
    <w:rsid w:val="663A3EE7"/>
    <w:rsid w:val="663F14FE"/>
    <w:rsid w:val="6692787F"/>
    <w:rsid w:val="67380427"/>
    <w:rsid w:val="681349F0"/>
    <w:rsid w:val="68381494"/>
    <w:rsid w:val="68D37C0A"/>
    <w:rsid w:val="69877444"/>
    <w:rsid w:val="699D4AE0"/>
    <w:rsid w:val="6A1F58CE"/>
    <w:rsid w:val="6A4E61B3"/>
    <w:rsid w:val="6B1C3BBC"/>
    <w:rsid w:val="6B601CFA"/>
    <w:rsid w:val="6C0804B7"/>
    <w:rsid w:val="6C2C7E2E"/>
    <w:rsid w:val="6C5916D2"/>
    <w:rsid w:val="6CA6524B"/>
    <w:rsid w:val="6CAB3449"/>
    <w:rsid w:val="6D1B05CF"/>
    <w:rsid w:val="6D6E5657"/>
    <w:rsid w:val="6D732496"/>
    <w:rsid w:val="6DE768F3"/>
    <w:rsid w:val="6E072901"/>
    <w:rsid w:val="6EDC2772"/>
    <w:rsid w:val="6EF94940"/>
    <w:rsid w:val="6FD39455"/>
    <w:rsid w:val="70294DB1"/>
    <w:rsid w:val="70CC5EDD"/>
    <w:rsid w:val="71571FBA"/>
    <w:rsid w:val="72606A84"/>
    <w:rsid w:val="72C45265"/>
    <w:rsid w:val="7337769F"/>
    <w:rsid w:val="736B3B5A"/>
    <w:rsid w:val="73734595"/>
    <w:rsid w:val="73746872"/>
    <w:rsid w:val="739D4CCD"/>
    <w:rsid w:val="73C31078"/>
    <w:rsid w:val="73EB64BD"/>
    <w:rsid w:val="745E5245"/>
    <w:rsid w:val="74D35C05"/>
    <w:rsid w:val="7568025C"/>
    <w:rsid w:val="75C82CBC"/>
    <w:rsid w:val="76487F5B"/>
    <w:rsid w:val="77183DD1"/>
    <w:rsid w:val="776742C1"/>
    <w:rsid w:val="77E79742"/>
    <w:rsid w:val="782642CC"/>
    <w:rsid w:val="78745201"/>
    <w:rsid w:val="790A599B"/>
    <w:rsid w:val="7941458B"/>
    <w:rsid w:val="799D236B"/>
    <w:rsid w:val="79C1149D"/>
    <w:rsid w:val="7A2D1941"/>
    <w:rsid w:val="7ADA3D78"/>
    <w:rsid w:val="7BAC2D3A"/>
    <w:rsid w:val="7BFFE385"/>
    <w:rsid w:val="7C80044E"/>
    <w:rsid w:val="7C8D66C7"/>
    <w:rsid w:val="7CA51C63"/>
    <w:rsid w:val="7D9D6DDE"/>
    <w:rsid w:val="7DA33311"/>
    <w:rsid w:val="7E216A51"/>
    <w:rsid w:val="7E435848"/>
    <w:rsid w:val="7E4F774E"/>
    <w:rsid w:val="7E74E99F"/>
    <w:rsid w:val="7F0F9501"/>
    <w:rsid w:val="7F674C81"/>
    <w:rsid w:val="7F6A3BA1"/>
    <w:rsid w:val="7F875503"/>
    <w:rsid w:val="7FD920ED"/>
    <w:rsid w:val="7FDB4CF4"/>
    <w:rsid w:val="7FEC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7362B"/>
  <w15:docId w15:val="{01CB9A98-D44E-4169-82BE-B94A0D9B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iPriority="9"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643"/>
    </w:pPr>
  </w:style>
  <w:style w:type="paragraph" w:styleId="a4">
    <w:name w:val="annotation text"/>
    <w:basedOn w:val="a"/>
    <w:link w:val="a5"/>
    <w:qFormat/>
    <w:pPr>
      <w:jc w:val="left"/>
    </w:pPr>
  </w:style>
  <w:style w:type="paragraph" w:styleId="a6">
    <w:name w:val="Body Text"/>
    <w:basedOn w:val="a"/>
    <w:link w:val="a7"/>
    <w:semiHidden/>
    <w:unhideWhenUsed/>
    <w:qFormat/>
    <w:pPr>
      <w:spacing w:after="120"/>
    </w:pPr>
  </w:style>
  <w:style w:type="paragraph" w:styleId="a8">
    <w:name w:val="Body Text Indent"/>
    <w:basedOn w:val="a"/>
    <w:link w:val="a9"/>
    <w:semiHidden/>
    <w:unhideWhenUsed/>
    <w:qFormat/>
    <w:pPr>
      <w:spacing w:after="120"/>
      <w:ind w:leftChars="200" w:left="420"/>
    </w:pPr>
  </w:style>
  <w:style w:type="paragraph" w:styleId="TOC3">
    <w:name w:val="toc 3"/>
    <w:basedOn w:val="a"/>
    <w:next w:val="a"/>
    <w:autoRedefine/>
    <w:uiPriority w:val="39"/>
    <w:unhideWhenUsed/>
    <w:qFormat/>
    <w:pPr>
      <w:widowControl/>
      <w:spacing w:after="100" w:line="259" w:lineRule="auto"/>
      <w:ind w:left="440"/>
      <w:jc w:val="left"/>
    </w:pPr>
    <w:rPr>
      <w:rFonts w:asciiTheme="minorHAnsi" w:eastAsiaTheme="minorEastAsia" w:hAnsiTheme="minorHAnsi"/>
      <w:kern w:val="0"/>
      <w:sz w:val="22"/>
    </w:rPr>
  </w:style>
  <w:style w:type="paragraph" w:styleId="aa">
    <w:name w:val="Balloon Text"/>
    <w:basedOn w:val="a"/>
    <w:link w:val="ab"/>
    <w:qFormat/>
    <w:rPr>
      <w:sz w:val="18"/>
      <w:szCs w:val="18"/>
    </w:rPr>
  </w:style>
  <w:style w:type="paragraph" w:styleId="ac">
    <w:name w:val="footer"/>
    <w:basedOn w:val="a"/>
    <w:link w:val="ad"/>
    <w:uiPriority w:val="99"/>
    <w:qFormat/>
    <w:pPr>
      <w:tabs>
        <w:tab w:val="center" w:pos="4153"/>
        <w:tab w:val="right" w:pos="8306"/>
      </w:tabs>
      <w:snapToGrid w:val="0"/>
      <w:jc w:val="left"/>
    </w:pPr>
    <w:rPr>
      <w:sz w:val="18"/>
    </w:rPr>
  </w:style>
  <w:style w:type="paragraph" w:styleId="ae">
    <w:name w:val="header"/>
    <w:basedOn w:val="a"/>
    <w:qFormat/>
    <w:pPr>
      <w:tabs>
        <w:tab w:val="center" w:pos="4153"/>
        <w:tab w:val="right" w:pos="8306"/>
      </w:tabs>
      <w:snapToGrid w:val="0"/>
    </w:pPr>
    <w:rPr>
      <w:sz w:val="18"/>
    </w:rPr>
  </w:style>
  <w:style w:type="paragraph" w:styleId="TOC1">
    <w:name w:val="toc 1"/>
    <w:basedOn w:val="a"/>
    <w:next w:val="a"/>
    <w:autoRedefine/>
    <w:uiPriority w:val="39"/>
    <w:unhideWhenUsed/>
    <w:qFormat/>
    <w:pPr>
      <w:widowControl/>
      <w:spacing w:after="100" w:line="259" w:lineRule="auto"/>
      <w:jc w:val="left"/>
    </w:pPr>
    <w:rPr>
      <w:rFonts w:asciiTheme="minorHAnsi" w:eastAsiaTheme="minorEastAsia" w:hAnsiTheme="minorHAnsi"/>
      <w:kern w:val="0"/>
      <w:sz w:val="22"/>
    </w:rPr>
  </w:style>
  <w:style w:type="paragraph" w:styleId="TOC2">
    <w:name w:val="toc 2"/>
    <w:basedOn w:val="a"/>
    <w:next w:val="a"/>
    <w:autoRedefine/>
    <w:uiPriority w:val="39"/>
    <w:unhideWhenUsed/>
    <w:qFormat/>
    <w:pPr>
      <w:widowControl/>
      <w:spacing w:after="100" w:line="259" w:lineRule="auto"/>
      <w:ind w:left="220"/>
      <w:jc w:val="left"/>
    </w:pPr>
    <w:rPr>
      <w:rFonts w:asciiTheme="minorHAnsi" w:eastAsiaTheme="minorEastAsia" w:hAnsiTheme="minorHAnsi"/>
      <w:kern w:val="0"/>
      <w:sz w:val="22"/>
    </w:rPr>
  </w:style>
  <w:style w:type="paragraph" w:styleId="21">
    <w:name w:val="Body Text 2"/>
    <w:basedOn w:val="a"/>
    <w:qFormat/>
    <w:pPr>
      <w:spacing w:line="560" w:lineRule="exact"/>
      <w:ind w:firstLineChars="200" w:firstLine="640"/>
    </w:pPr>
  </w:style>
  <w:style w:type="paragraph" w:styleId="af">
    <w:name w:val="annotation subject"/>
    <w:basedOn w:val="a4"/>
    <w:next w:val="a4"/>
    <w:link w:val="af0"/>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qFormat/>
    <w:rPr>
      <w:color w:val="0000FF" w:themeColor="hyperlink"/>
      <w:u w:val="single"/>
    </w:rPr>
  </w:style>
  <w:style w:type="character" w:styleId="af3">
    <w:name w:val="annotation reference"/>
    <w:basedOn w:val="a0"/>
    <w:semiHidden/>
    <w:unhideWhenUsed/>
    <w:qFormat/>
    <w:rPr>
      <w:sz w:val="21"/>
      <w:szCs w:val="21"/>
    </w:rPr>
  </w:style>
  <w:style w:type="paragraph" w:customStyle="1" w:styleId="11">
    <w:name w:val="列出段落1"/>
    <w:basedOn w:val="a"/>
    <w:qFormat/>
    <w:pPr>
      <w:ind w:firstLineChars="200" w:firstLine="200"/>
    </w:pPr>
  </w:style>
  <w:style w:type="paragraph" w:customStyle="1" w:styleId="22">
    <w:name w:val="列出段落2"/>
    <w:basedOn w:val="a"/>
    <w:qFormat/>
    <w:pPr>
      <w:ind w:firstLineChars="200" w:firstLine="200"/>
    </w:pPr>
  </w:style>
  <w:style w:type="character" w:customStyle="1" w:styleId="ab">
    <w:name w:val="批注框文本 字符"/>
    <w:basedOn w:val="a0"/>
    <w:link w:val="aa"/>
    <w:qFormat/>
    <w:rPr>
      <w:rFonts w:ascii="Calibri" w:hAnsi="Calibri"/>
      <w:kern w:val="2"/>
      <w:sz w:val="18"/>
      <w:szCs w:val="18"/>
    </w:rPr>
  </w:style>
  <w:style w:type="paragraph" w:customStyle="1" w:styleId="12">
    <w:name w:val="修订1"/>
    <w:hidden/>
    <w:uiPriority w:val="99"/>
    <w:unhideWhenUsed/>
    <w:qFormat/>
    <w:rPr>
      <w:rFonts w:ascii="Calibri" w:hAnsi="Calibri"/>
      <w:kern w:val="2"/>
      <w:sz w:val="21"/>
      <w:szCs w:val="22"/>
    </w:rPr>
  </w:style>
  <w:style w:type="paragraph" w:styleId="af4">
    <w:name w:val="List Paragraph"/>
    <w:basedOn w:val="a"/>
    <w:uiPriority w:val="99"/>
    <w:unhideWhenUsed/>
    <w:qFormat/>
    <w:pPr>
      <w:ind w:firstLineChars="200" w:firstLine="420"/>
    </w:pPr>
  </w:style>
  <w:style w:type="paragraph" w:customStyle="1" w:styleId="23">
    <w:name w:val="修订2"/>
    <w:hidden/>
    <w:uiPriority w:val="99"/>
    <w:semiHidden/>
    <w:qFormat/>
    <w:rPr>
      <w:rFonts w:ascii="Calibri" w:hAnsi="Calibri"/>
      <w:kern w:val="2"/>
      <w:sz w:val="21"/>
      <w:szCs w:val="22"/>
    </w:rPr>
  </w:style>
  <w:style w:type="character" w:customStyle="1" w:styleId="a7">
    <w:name w:val="正文文本 字符"/>
    <w:basedOn w:val="a0"/>
    <w:link w:val="a6"/>
    <w:semiHidden/>
    <w:qFormat/>
    <w:rPr>
      <w:rFonts w:ascii="Calibri" w:hAnsi="Calibri"/>
      <w:kern w:val="2"/>
      <w:sz w:val="21"/>
      <w:szCs w:val="22"/>
    </w:rPr>
  </w:style>
  <w:style w:type="paragraph" w:customStyle="1" w:styleId="TableParagraph">
    <w:name w:val="Table Paragraph"/>
    <w:basedOn w:val="a"/>
    <w:uiPriority w:val="1"/>
    <w:qFormat/>
    <w:pPr>
      <w:autoSpaceDE w:val="0"/>
      <w:autoSpaceDN w:val="0"/>
      <w:jc w:val="left"/>
    </w:pPr>
    <w:rPr>
      <w:rFonts w:hAnsi="仿宋_GB2312" w:cs="仿宋_GB2312"/>
      <w:kern w:val="0"/>
      <w:sz w:val="22"/>
      <w:lang w:val="zh-CN" w:bidi="zh-CN"/>
    </w:rPr>
  </w:style>
  <w:style w:type="paragraph" w:customStyle="1" w:styleId="31">
    <w:name w:val="修订3"/>
    <w:hidden/>
    <w:uiPriority w:val="99"/>
    <w:unhideWhenUsed/>
    <w:qFormat/>
    <w:rPr>
      <w:rFonts w:ascii="Calibri" w:hAnsi="Calibri"/>
      <w:kern w:val="2"/>
      <w:sz w:val="21"/>
      <w:szCs w:val="22"/>
    </w:rPr>
  </w:style>
  <w:style w:type="paragraph" w:customStyle="1" w:styleId="41">
    <w:name w:val="修订4"/>
    <w:hidden/>
    <w:uiPriority w:val="99"/>
    <w:unhideWhenUsed/>
    <w:qFormat/>
    <w:rPr>
      <w:rFonts w:ascii="Calibri" w:hAnsi="Calibri"/>
      <w:kern w:val="2"/>
      <w:sz w:val="21"/>
      <w:szCs w:val="22"/>
    </w:rPr>
  </w:style>
  <w:style w:type="paragraph" w:customStyle="1" w:styleId="51">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 w:type="character" w:customStyle="1" w:styleId="ad">
    <w:name w:val="页脚 字符"/>
    <w:basedOn w:val="a0"/>
    <w:link w:val="ac"/>
    <w:uiPriority w:val="99"/>
    <w:qFormat/>
    <w:rPr>
      <w:rFonts w:ascii="Calibri" w:hAnsi="Calibri"/>
      <w:kern w:val="2"/>
      <w:sz w:val="18"/>
      <w:szCs w:val="22"/>
    </w:rPr>
  </w:style>
  <w:style w:type="paragraph" w:customStyle="1" w:styleId="7">
    <w:name w:val="修订7"/>
    <w:hidden/>
    <w:uiPriority w:val="99"/>
    <w:unhideWhenUsed/>
    <w:qFormat/>
    <w:rPr>
      <w:rFonts w:ascii="Calibri" w:hAnsi="Calibri"/>
      <w:kern w:val="2"/>
      <w:sz w:val="21"/>
      <w:szCs w:val="22"/>
    </w:rPr>
  </w:style>
  <w:style w:type="paragraph" w:customStyle="1" w:styleId="8">
    <w:name w:val="修订8"/>
    <w:hidden/>
    <w:uiPriority w:val="99"/>
    <w:unhideWhenUsed/>
    <w:qFormat/>
    <w:rPr>
      <w:rFonts w:ascii="Calibri" w:hAnsi="Calibri"/>
      <w:kern w:val="2"/>
      <w:sz w:val="21"/>
      <w:szCs w:val="22"/>
    </w:rPr>
  </w:style>
  <w:style w:type="paragraph" w:customStyle="1" w:styleId="9">
    <w:name w:val="修订9"/>
    <w:hidden/>
    <w:uiPriority w:val="99"/>
    <w:unhideWhenUsed/>
    <w:qFormat/>
    <w:rPr>
      <w:rFonts w:ascii="Calibri" w:hAnsi="Calibri"/>
      <w:kern w:val="2"/>
      <w:sz w:val="21"/>
      <w:szCs w:val="22"/>
    </w:rPr>
  </w:style>
  <w:style w:type="character" w:customStyle="1" w:styleId="a9">
    <w:name w:val="正文文本缩进 字符"/>
    <w:basedOn w:val="a0"/>
    <w:link w:val="a8"/>
    <w:semiHidden/>
    <w:qFormat/>
    <w:rPr>
      <w:rFonts w:ascii="Calibri" w:hAnsi="Calibri"/>
      <w:kern w:val="2"/>
      <w:sz w:val="21"/>
      <w:szCs w:val="22"/>
    </w:rPr>
  </w:style>
  <w:style w:type="paragraph" w:styleId="af5">
    <w:name w:val="No Spacing"/>
    <w:link w:val="af6"/>
    <w:uiPriority w:val="1"/>
    <w:qFormat/>
    <w:rPr>
      <w:rFonts w:asciiTheme="minorHAnsi" w:eastAsiaTheme="minorEastAsia" w:hAnsiTheme="minorHAnsi" w:cstheme="minorBidi"/>
      <w:sz w:val="22"/>
      <w:szCs w:val="22"/>
    </w:rPr>
  </w:style>
  <w:style w:type="character" w:customStyle="1" w:styleId="af6">
    <w:name w:val="无间隔 字符"/>
    <w:basedOn w:val="a0"/>
    <w:link w:val="af5"/>
    <w:uiPriority w:val="1"/>
    <w:qFormat/>
    <w:rPr>
      <w:rFonts w:asciiTheme="minorHAnsi" w:eastAsiaTheme="minorEastAsia" w:hAnsiTheme="minorHAnsi" w:cstheme="minorBidi"/>
      <w:sz w:val="22"/>
      <w:szCs w:val="22"/>
    </w:rPr>
  </w:style>
  <w:style w:type="character" w:customStyle="1" w:styleId="40">
    <w:name w:val="标题 4 字符"/>
    <w:basedOn w:val="a0"/>
    <w:link w:val="4"/>
    <w:uiPriority w:val="9"/>
    <w:qFormat/>
    <w:rPr>
      <w:rFonts w:asciiTheme="majorHAnsi" w:eastAsiaTheme="majorEastAsia" w:hAnsiTheme="majorHAnsi" w:cstheme="majorBidi"/>
      <w:b/>
      <w:bCs/>
      <w:kern w:val="2"/>
      <w:sz w:val="28"/>
      <w:szCs w:val="28"/>
    </w:rPr>
  </w:style>
  <w:style w:type="paragraph" w:customStyle="1" w:styleId="100">
    <w:name w:val="修订10"/>
    <w:hidden/>
    <w:uiPriority w:val="99"/>
    <w:unhideWhenUsed/>
    <w:qFormat/>
    <w:rPr>
      <w:rFonts w:ascii="Calibri" w:hAnsi="Calibri"/>
      <w:kern w:val="2"/>
      <w:sz w:val="21"/>
      <w:szCs w:val="22"/>
    </w:rPr>
  </w:style>
  <w:style w:type="paragraph" w:customStyle="1" w:styleId="110">
    <w:name w:val="修订11"/>
    <w:hidden/>
    <w:uiPriority w:val="99"/>
    <w:unhideWhenUsed/>
    <w:qFormat/>
    <w:rPr>
      <w:rFonts w:ascii="Calibri" w:hAnsi="Calibri"/>
      <w:kern w:val="2"/>
      <w:sz w:val="21"/>
      <w:szCs w:val="22"/>
    </w:rPr>
  </w:style>
  <w:style w:type="character" w:customStyle="1" w:styleId="a5">
    <w:name w:val="批注文字 字符"/>
    <w:basedOn w:val="a0"/>
    <w:link w:val="a4"/>
    <w:qFormat/>
    <w:rPr>
      <w:rFonts w:ascii="Calibri" w:hAnsi="Calibri"/>
      <w:kern w:val="2"/>
      <w:sz w:val="21"/>
      <w:szCs w:val="22"/>
    </w:rPr>
  </w:style>
  <w:style w:type="character" w:customStyle="1" w:styleId="af0">
    <w:name w:val="批注主题 字符"/>
    <w:basedOn w:val="a5"/>
    <w:link w:val="af"/>
    <w:semiHidden/>
    <w:qFormat/>
    <w:rPr>
      <w:rFonts w:ascii="Calibri" w:hAnsi="Calibri"/>
      <w:b/>
      <w:bCs/>
      <w:kern w:val="2"/>
      <w:sz w:val="21"/>
      <w:szCs w:val="22"/>
    </w:rPr>
  </w:style>
  <w:style w:type="paragraph" w:customStyle="1" w:styleId="120">
    <w:name w:val="修订12"/>
    <w:hidden/>
    <w:uiPriority w:val="99"/>
    <w:unhideWhenUsed/>
    <w:qFormat/>
    <w:rPr>
      <w:rFonts w:ascii="Calibri" w:hAnsi="Calibri"/>
      <w:kern w:val="2"/>
      <w:sz w:val="21"/>
      <w:szCs w:val="22"/>
    </w:rPr>
  </w:style>
  <w:style w:type="character" w:customStyle="1" w:styleId="15">
    <w:name w:val="15"/>
    <w:basedOn w:val="a0"/>
    <w:qFormat/>
    <w:rPr>
      <w:rFonts w:ascii="Times New Roman" w:hAnsi="Times New Roman" w:cs="Times New Roman" w:hint="default"/>
      <w:sz w:val="21"/>
      <w:szCs w:val="21"/>
    </w:rPr>
  </w:style>
  <w:style w:type="character" w:customStyle="1" w:styleId="101">
    <w:name w:val="10"/>
    <w:basedOn w:val="a0"/>
    <w:qFormat/>
    <w:rPr>
      <w:rFonts w:ascii="Times New Roman" w:hAnsi="Times New Roman" w:cs="Times New Roman" w:hint="default"/>
    </w:rPr>
  </w:style>
  <w:style w:type="paragraph" w:customStyle="1" w:styleId="13">
    <w:name w:val="修订13"/>
    <w:hidden/>
    <w:uiPriority w:val="99"/>
    <w:unhideWhenUsed/>
    <w:qFormat/>
    <w:rPr>
      <w:rFonts w:ascii="Calibri" w:hAnsi="Calibri"/>
      <w:kern w:val="2"/>
      <w:sz w:val="21"/>
      <w:szCs w:val="22"/>
    </w:rPr>
  </w:style>
  <w:style w:type="character" w:customStyle="1" w:styleId="10">
    <w:name w:val="标题 1 字符"/>
    <w:basedOn w:val="a0"/>
    <w:link w:val="1"/>
    <w:qFormat/>
    <w:rPr>
      <w:rFonts w:ascii="Calibri" w:hAnsi="Calibri"/>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50">
    <w:name w:val="标题 5 字符"/>
    <w:basedOn w:val="a0"/>
    <w:link w:val="5"/>
    <w:qFormat/>
    <w:rPr>
      <w:rFonts w:ascii="Calibri" w:hAnsi="Calibri"/>
      <w:b/>
      <w:bCs/>
      <w:kern w:val="2"/>
      <w:sz w:val="28"/>
      <w:szCs w:val="28"/>
    </w:rPr>
  </w:style>
  <w:style w:type="character" w:customStyle="1" w:styleId="30">
    <w:name w:val="标题 3 字符"/>
    <w:basedOn w:val="a0"/>
    <w:link w:val="3"/>
    <w:qFormat/>
    <w:rPr>
      <w:rFonts w:ascii="Calibri" w:hAnsi="Calibri"/>
      <w:b/>
      <w:bCs/>
      <w:kern w:val="2"/>
      <w:sz w:val="32"/>
      <w:szCs w:val="32"/>
    </w:rPr>
  </w:style>
  <w:style w:type="character" w:customStyle="1" w:styleId="20">
    <w:name w:val="标题 2 字符"/>
    <w:basedOn w:val="a0"/>
    <w:link w:val="2"/>
    <w:qFormat/>
    <w:rPr>
      <w:rFonts w:asciiTheme="majorHAnsi" w:eastAsiaTheme="majorEastAsia" w:hAnsiTheme="majorHAnsi" w:cstheme="majorBidi"/>
      <w:b/>
      <w:bCs/>
      <w:kern w:val="2"/>
      <w:sz w:val="32"/>
      <w:szCs w:val="32"/>
    </w:rPr>
  </w:style>
  <w:style w:type="paragraph" w:styleId="af7">
    <w:name w:val="Revision"/>
    <w:hidden/>
    <w:uiPriority w:val="99"/>
    <w:unhideWhenUsed/>
    <w:rsid w:val="00FD3335"/>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DA89D6A-3C76-42E5-96C6-54F256E6018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狂爱逗虾狗丶จุ๊บ</dc:creator>
  <cp:lastModifiedBy>. Gabrielle</cp:lastModifiedBy>
  <cp:revision>5</cp:revision>
  <cp:lastPrinted>2024-03-22T12:01:00Z</cp:lastPrinted>
  <dcterms:created xsi:type="dcterms:W3CDTF">2024-07-23T03:10:00Z</dcterms:created>
  <dcterms:modified xsi:type="dcterms:W3CDTF">2024-07-29T06:42:00Z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A57535D0AD794BA58C8501FDF487097C_13</vt:lpwstr>
  </property>
</Properties>
</file>